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D2FAA" w:rsidRDefault="002D2FAA">
      <w:pPr>
        <w:rPr>
          <w:rFonts w:ascii="黑体" w:eastAsia="黑体" w:hAnsi="黑体" w:hint="eastAsia"/>
          <w:sz w:val="32"/>
          <w:szCs w:val="32"/>
        </w:rPr>
      </w:pPr>
    </w:p>
    <w:p w:rsidR="002D2FAA" w:rsidRDefault="002D2FAA">
      <w:pPr>
        <w:jc w:val="center"/>
        <w:rPr>
          <w:rFonts w:ascii="方正小标宋_GBK" w:eastAsia="方正小标宋_GBK" w:hAnsi="宋体" w:hint="eastAsia"/>
          <w:sz w:val="44"/>
          <w:szCs w:val="44"/>
        </w:rPr>
      </w:pPr>
    </w:p>
    <w:p w:rsidR="002D2FA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木垒哈萨克自治县博物馆</w:t>
      </w:r>
    </w:p>
    <w:p w:rsidR="002D2FA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rsidR="002D2FA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rsidR="002D2FAA"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rsidR="002D2FAA"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rsidR="002D2FAA"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rsidR="002D2FAA"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rsidR="002D2FAA"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rsidR="002D2FAA"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rsidR="002D2FAA"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rsidR="002D2FAA"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rsidR="002D2FAA"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rsidR="002D2FAA"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rsidR="002D2FAA"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rsidR="002D2FAA"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rsidR="002D2FAA"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rsidR="002D2FAA"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2D2FAA" w:rsidRDefault="00000000">
      <w:r>
        <w:rPr>
          <w:rFonts w:ascii="仿宋_GB2312" w:eastAsia="仿宋_GB2312" w:hAnsi="仿宋_GB2312" w:cs="仿宋_GB2312" w:hint="eastAsia"/>
          <w:sz w:val="32"/>
          <w:szCs w:val="32"/>
        </w:rPr>
        <w:fldChar w:fldCharType="end"/>
      </w:r>
    </w:p>
    <w:p w:rsidR="002D2FAA" w:rsidRDefault="00000000">
      <w:pPr>
        <w:rPr>
          <w:rFonts w:ascii="仿宋_GB2312" w:eastAsia="仿宋_GB2312"/>
          <w:sz w:val="32"/>
          <w:szCs w:val="32"/>
        </w:rPr>
      </w:pPr>
      <w:r>
        <w:rPr>
          <w:rFonts w:ascii="仿宋_GB2312" w:eastAsia="仿宋_GB2312" w:hint="eastAsia"/>
          <w:sz w:val="32"/>
          <w:szCs w:val="32"/>
        </w:rPr>
        <w:br w:type="page"/>
      </w:r>
    </w:p>
    <w:p w:rsidR="002D2FAA"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rsidR="002D2FAA"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rsidR="002D2FAA" w:rsidRDefault="00000000">
      <w:pPr>
        <w:shd w:val="clear" w:color="auto" w:fill="FFFFFF"/>
        <w:autoSpaceDE w:val="0"/>
        <w:autoSpaceDN w:val="0"/>
        <w:adjustRightInd w:val="0"/>
        <w:spacing w:line="360" w:lineRule="auto"/>
        <w:ind w:firstLine="640"/>
        <w:rPr>
          <w:rFonts w:ascii="仿宋_GB2312" w:eastAsia="仿宋_GB2312" w:cs="仿宋_GB2312"/>
          <w:kern w:val="0"/>
          <w:sz w:val="32"/>
          <w:szCs w:val="32"/>
        </w:rPr>
      </w:pPr>
      <w:bookmarkStart w:id="4" w:name="_Toc31238"/>
      <w:bookmarkStart w:id="5" w:name="_Toc2151"/>
      <w:r>
        <w:rPr>
          <w:rFonts w:ascii="仿宋_GB2312" w:eastAsia="仿宋_GB2312" w:cs="仿宋_GB2312" w:hint="eastAsia"/>
          <w:kern w:val="0"/>
          <w:sz w:val="32"/>
          <w:szCs w:val="32"/>
        </w:rPr>
        <w:t>木垒哈萨克自治县博物馆开展文物研究，弘扬民族文化，文物保护和方法研究，文物档案资料管理与研究，文物展览、文物宣传。</w:t>
      </w:r>
    </w:p>
    <w:p w:rsidR="002D2FAA" w:rsidRDefault="00000000">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ascii="仿宋_GB2312" w:eastAsia="仿宋_GB2312" w:cs="仿宋_GB2312" w:hint="eastAsia"/>
          <w:kern w:val="0"/>
          <w:sz w:val="32"/>
          <w:szCs w:val="32"/>
        </w:rPr>
        <w:t>木垒哈萨克自治县博物馆先后被区、州、县命名为“昌吉州科普教育基地”、“昌吉州爱国主义教育基地”、“昌吉州青少年爱国主义教育基地”、“自治州国防教育基地”、“木垒县反邪教警示教育基地”、“木垒县廉政教育基地”、“木垒县民族团结进步教育基地”。</w:t>
      </w:r>
    </w:p>
    <w:p w:rsidR="002D2FAA"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2D2FAA"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木垒哈萨克自治县博物馆2023年度，实有人数</w:t>
      </w:r>
      <w:r>
        <w:rPr>
          <w:rFonts w:ascii="仿宋_GB2312" w:eastAsia="仿宋_GB2312" w:hint="eastAsia"/>
          <w:sz w:val="32"/>
          <w:szCs w:val="32"/>
          <w:lang w:val="zh-CN"/>
        </w:rPr>
        <w:t>22</w:t>
      </w:r>
      <w:r>
        <w:rPr>
          <w:rFonts w:ascii="仿宋_GB2312" w:eastAsia="仿宋_GB2312" w:hint="eastAsia"/>
          <w:sz w:val="32"/>
          <w:szCs w:val="32"/>
        </w:rPr>
        <w:t>人，其中：在职人员</w:t>
      </w:r>
      <w:r>
        <w:rPr>
          <w:rFonts w:ascii="仿宋_GB2312" w:eastAsia="仿宋_GB2312" w:hint="eastAsia"/>
          <w:sz w:val="32"/>
          <w:szCs w:val="32"/>
          <w:lang w:val="zh-CN"/>
        </w:rPr>
        <w:t>11</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11</w:t>
      </w:r>
      <w:r>
        <w:rPr>
          <w:rFonts w:ascii="仿宋_GB2312" w:eastAsia="仿宋_GB2312" w:hint="eastAsia"/>
          <w:sz w:val="32"/>
          <w:szCs w:val="32"/>
        </w:rPr>
        <w:t>人。</w:t>
      </w:r>
    </w:p>
    <w:p w:rsidR="002D2FAA" w:rsidRDefault="00000000">
      <w:pPr>
        <w:ind w:firstLineChars="200" w:firstLine="640"/>
        <w:rPr>
          <w:kern w:val="0"/>
          <w:sz w:val="24"/>
          <w:rtl/>
          <w:lang w:val="zh-CN" w:bidi="zh-CN"/>
        </w:rPr>
      </w:pPr>
      <w:r>
        <w:rPr>
          <w:rFonts w:ascii="仿宋_GB2312" w:eastAsia="仿宋_GB2312" w:hAnsi="黑体" w:cs="宋体" w:hint="eastAsia"/>
          <w:bCs/>
          <w:kern w:val="0"/>
          <w:sz w:val="32"/>
          <w:szCs w:val="32"/>
        </w:rPr>
        <w:t>单位无下属预算单位，</w:t>
      </w:r>
      <w:r>
        <w:rPr>
          <w:rFonts w:ascii="仿宋_GB2312" w:eastAsia="仿宋_GB2312" w:cs="仿宋_GB2312" w:hint="eastAsia"/>
          <w:kern w:val="0"/>
          <w:sz w:val="32"/>
          <w:szCs w:val="32"/>
          <w:lang w:val="zh-CN"/>
        </w:rPr>
        <w:t>下设</w:t>
      </w:r>
      <w:r>
        <w:rPr>
          <w:rFonts w:ascii="仿宋_GB2312" w:eastAsia="仿宋_GB2312" w:cs="仿宋_GB2312" w:hint="eastAsia"/>
          <w:kern w:val="0"/>
          <w:sz w:val="32"/>
          <w:szCs w:val="32"/>
        </w:rPr>
        <w:t>2</w:t>
      </w:r>
      <w:r>
        <w:rPr>
          <w:rFonts w:ascii="仿宋_GB2312" w:eastAsia="仿宋_GB2312" w:cs="仿宋_GB2312" w:hint="eastAsia"/>
          <w:kern w:val="0"/>
          <w:sz w:val="32"/>
          <w:szCs w:val="32"/>
          <w:lang w:val="zh-CN"/>
        </w:rPr>
        <w:t>个科室，</w:t>
      </w:r>
      <w:r>
        <w:rPr>
          <w:rFonts w:ascii="仿宋_GB2312" w:eastAsia="仿宋_GB2312" w:cs="仿宋_GB2312" w:hint="eastAsia"/>
          <w:kern w:val="0"/>
          <w:sz w:val="32"/>
          <w:szCs w:val="32"/>
        </w:rPr>
        <w:t>分别是：办公室、陈列保管室。</w:t>
      </w:r>
    </w:p>
    <w:p w:rsidR="002D2FAA" w:rsidRDefault="002D2FAA">
      <w:pPr>
        <w:ind w:firstLineChars="200" w:firstLine="640"/>
        <w:rPr>
          <w:rFonts w:ascii="仿宋_GB2312" w:eastAsia="仿宋_GB2312" w:hAnsi="宋体" w:cs="宋体" w:hint="eastAsia"/>
          <w:kern w:val="0"/>
          <w:sz w:val="32"/>
          <w:szCs w:val="32"/>
        </w:rPr>
        <w:sectPr w:rsidR="002D2FAA">
          <w:footerReference w:type="default" r:id="rId8"/>
          <w:pgSz w:w="11906" w:h="16838"/>
          <w:pgMar w:top="1440" w:right="1800" w:bottom="1440" w:left="1800" w:header="851" w:footer="992" w:gutter="0"/>
          <w:cols w:space="720"/>
          <w:docGrid w:type="lines" w:linePitch="312"/>
        </w:sectPr>
      </w:pPr>
    </w:p>
    <w:p w:rsidR="002D2FAA"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rsidR="002D2FAA"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rsidR="002D2FA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2023年度收入总计625.67万元，其中：本年收入合计625.67万元，使用非财政拨款结余0.00万元，年初结转和结余0.00万元。</w:t>
      </w:r>
    </w:p>
    <w:p w:rsidR="002D2FA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2023年度支出总计625.67万元，其中：本年支出合计625.65万元，结余分配0.00万元，年末结转和结余0.02万元。</w:t>
      </w:r>
    </w:p>
    <w:p w:rsidR="002D2FAA"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增加38.51万元</w:t>
      </w:r>
      <w:r>
        <w:rPr>
          <w:rFonts w:ascii="仿宋_GB2312" w:eastAsia="仿宋_GB2312" w:hint="eastAsia"/>
          <w:sz w:val="32"/>
          <w:szCs w:val="32"/>
        </w:rPr>
        <w:t>，增长6.56%，主要原因是：单位本年</w:t>
      </w:r>
      <w:r>
        <w:rPr>
          <w:rFonts w:ascii="仿宋_GB2312" w:eastAsia="仿宋_GB2312" w:hint="eastAsia"/>
          <w:sz w:val="32"/>
          <w:szCs w:val="32"/>
          <w:lang w:val="zh-CN"/>
        </w:rPr>
        <w:t>木垒县博物馆装修工程费用</w:t>
      </w:r>
      <w:r>
        <w:rPr>
          <w:rFonts w:ascii="仿宋_GB2312" w:eastAsia="仿宋_GB2312" w:hint="eastAsia"/>
          <w:sz w:val="32"/>
          <w:szCs w:val="32"/>
        </w:rPr>
        <w:t>增加</w:t>
      </w:r>
      <w:r>
        <w:rPr>
          <w:rFonts w:ascii="仿宋_GB2312" w:eastAsia="仿宋_GB2312" w:hint="eastAsia"/>
          <w:sz w:val="32"/>
          <w:szCs w:val="32"/>
          <w:lang w:val="zh-CN"/>
        </w:rPr>
        <w:t>。</w:t>
      </w:r>
    </w:p>
    <w:p w:rsidR="002D2FAA"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rsidR="002D2F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收入625.67万元，其中：财政拨款收入625.65万元，占100.00%；上级补助收入0.00万元，占0.00%；事业收入0.00万元，占0.00%；经营收入0.00万元，占0.00%；附属单位上缴收入0.00万元，占0.00%；其他收入0.02万元，占0.00%。</w:t>
      </w:r>
    </w:p>
    <w:p w:rsidR="002D2FAA"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rsidR="002D2F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本年支出625.65万元，其中：基本支出187.77万元，占30.01%；项目支出437.88万元，占69.99%；上缴上级支出0.00万元，占0.00%；经营支出0.00万元，占0.00%；对附属单位补助支出0.00万元，占0.00%。</w:t>
      </w:r>
    </w:p>
    <w:p w:rsidR="002D2FAA"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t>四、财政拨款收入支出决算总体情况说明</w:t>
      </w:r>
      <w:bookmarkEnd w:id="14"/>
      <w:bookmarkEnd w:id="15"/>
    </w:p>
    <w:p w:rsidR="002D2FAA"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2023年度财政拨款收入总计</w:t>
      </w:r>
      <w:r>
        <w:rPr>
          <w:rFonts w:ascii="仿宋_GB2312" w:eastAsia="仿宋_GB2312" w:hint="eastAsia"/>
          <w:sz w:val="32"/>
          <w:szCs w:val="32"/>
          <w:lang w:val="zh-CN"/>
        </w:rPr>
        <w:t>625.65</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625.65</w:t>
      </w:r>
      <w:r>
        <w:rPr>
          <w:rFonts w:ascii="仿宋_GB2312" w:eastAsia="仿宋_GB2312" w:hint="eastAsia"/>
          <w:sz w:val="32"/>
          <w:szCs w:val="32"/>
        </w:rPr>
        <w:t>万元。财政拨款支出总计</w:t>
      </w:r>
      <w:r>
        <w:rPr>
          <w:rFonts w:ascii="仿宋_GB2312" w:eastAsia="仿宋_GB2312" w:hint="eastAsia"/>
          <w:sz w:val="32"/>
          <w:szCs w:val="32"/>
          <w:lang w:val="zh-CN"/>
        </w:rPr>
        <w:t>625.65</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625.65</w:t>
      </w:r>
      <w:r>
        <w:rPr>
          <w:rFonts w:ascii="仿宋_GB2312" w:eastAsia="仿宋_GB2312" w:hint="eastAsia"/>
          <w:sz w:val="32"/>
          <w:szCs w:val="32"/>
        </w:rPr>
        <w:t>万元。</w:t>
      </w:r>
    </w:p>
    <w:p w:rsidR="002D2F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增加38.50万元</w:t>
      </w:r>
      <w:r>
        <w:rPr>
          <w:rFonts w:ascii="仿宋_GB2312" w:eastAsia="仿宋_GB2312" w:hint="eastAsia"/>
          <w:sz w:val="32"/>
          <w:szCs w:val="32"/>
        </w:rPr>
        <w:t>，增长6.56%,主要原因是：单位本年</w:t>
      </w:r>
      <w:r>
        <w:rPr>
          <w:rFonts w:ascii="仿宋_GB2312" w:eastAsia="仿宋_GB2312" w:hint="eastAsia"/>
          <w:sz w:val="32"/>
          <w:szCs w:val="32"/>
          <w:lang w:val="zh-CN"/>
        </w:rPr>
        <w:t>木垒县博物馆装修工程费用</w:t>
      </w:r>
      <w:r>
        <w:rPr>
          <w:rFonts w:ascii="仿宋_GB2312" w:eastAsia="仿宋_GB2312" w:hint="eastAsia"/>
          <w:sz w:val="32"/>
          <w:szCs w:val="32"/>
        </w:rPr>
        <w:t>增加</w:t>
      </w:r>
      <w:r>
        <w:rPr>
          <w:rFonts w:ascii="仿宋_GB2312" w:eastAsia="仿宋_GB2312" w:hint="eastAsia"/>
          <w:sz w:val="32"/>
          <w:szCs w:val="32"/>
          <w:lang w:val="zh-CN"/>
        </w:rPr>
        <w:t>。</w:t>
      </w:r>
      <w:r>
        <w:rPr>
          <w:rFonts w:ascii="仿宋_GB2312" w:eastAsia="仿宋_GB2312" w:hint="eastAsia"/>
          <w:sz w:val="32"/>
          <w:szCs w:val="32"/>
        </w:rPr>
        <w:t>与年初预算相比，年初预算数</w:t>
      </w:r>
      <w:r>
        <w:rPr>
          <w:rFonts w:ascii="仿宋_GB2312" w:eastAsia="仿宋_GB2312" w:hint="eastAsia"/>
          <w:sz w:val="32"/>
          <w:szCs w:val="32"/>
          <w:lang w:val="zh-CN"/>
        </w:rPr>
        <w:t>206.43</w:t>
      </w:r>
      <w:r>
        <w:rPr>
          <w:rFonts w:ascii="仿宋_GB2312" w:eastAsia="仿宋_GB2312" w:hint="eastAsia"/>
          <w:sz w:val="32"/>
          <w:szCs w:val="32"/>
        </w:rPr>
        <w:t>万元，决算数</w:t>
      </w:r>
      <w:r>
        <w:rPr>
          <w:rFonts w:ascii="仿宋_GB2312" w:eastAsia="仿宋_GB2312" w:hint="eastAsia"/>
          <w:sz w:val="32"/>
          <w:szCs w:val="32"/>
          <w:lang w:val="zh-CN"/>
        </w:rPr>
        <w:t>625.65</w:t>
      </w:r>
      <w:r>
        <w:rPr>
          <w:rFonts w:ascii="仿宋_GB2312" w:eastAsia="仿宋_GB2312" w:hint="eastAsia"/>
          <w:sz w:val="32"/>
          <w:szCs w:val="32"/>
        </w:rPr>
        <w:t>万元，预决算差异率203.08%，主要原因是：</w:t>
      </w:r>
      <w:r>
        <w:rPr>
          <w:rFonts w:ascii="仿宋_GB2312" w:eastAsia="仿宋_GB2312" w:hint="eastAsia"/>
          <w:sz w:val="32"/>
          <w:szCs w:val="32"/>
          <w:lang w:val="zh-CN"/>
        </w:rPr>
        <w:t>单位本年人员</w:t>
      </w:r>
      <w:r>
        <w:rPr>
          <w:rFonts w:ascii="仿宋_GB2312" w:eastAsia="仿宋_GB2312" w:hint="eastAsia"/>
          <w:sz w:val="32"/>
          <w:szCs w:val="32"/>
        </w:rPr>
        <w:t>增加</w:t>
      </w:r>
      <w:r>
        <w:rPr>
          <w:rFonts w:ascii="仿宋_GB2312" w:eastAsia="仿宋_GB2312" w:hint="eastAsia"/>
          <w:sz w:val="32"/>
          <w:szCs w:val="32"/>
          <w:lang w:val="zh-CN"/>
        </w:rPr>
        <w:t>，相应工资、津贴补贴、奖金增加。</w:t>
      </w:r>
    </w:p>
    <w:p w:rsidR="002D2FAA"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rsidR="002D2FA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rsidR="002D2F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2023年度一般公共预算财政拨款支出625.65万元，占本年支出合计的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增加38.50万元</w:t>
      </w:r>
      <w:r>
        <w:rPr>
          <w:rFonts w:ascii="仿宋_GB2312" w:eastAsia="仿宋_GB2312" w:hint="eastAsia"/>
          <w:sz w:val="32"/>
          <w:szCs w:val="32"/>
        </w:rPr>
        <w:t>，增长6.56%,主要原因是：单位本年</w:t>
      </w:r>
      <w:r>
        <w:rPr>
          <w:rFonts w:ascii="仿宋_GB2312" w:eastAsia="仿宋_GB2312" w:hint="eastAsia"/>
          <w:sz w:val="32"/>
          <w:szCs w:val="32"/>
          <w:lang w:val="zh-CN"/>
        </w:rPr>
        <w:t>木垒县博物馆装修工程费用</w:t>
      </w:r>
      <w:r>
        <w:rPr>
          <w:rFonts w:ascii="仿宋_GB2312" w:eastAsia="仿宋_GB2312" w:hint="eastAsia"/>
          <w:sz w:val="32"/>
          <w:szCs w:val="32"/>
        </w:rPr>
        <w:t>增加</w:t>
      </w:r>
      <w:r>
        <w:rPr>
          <w:rFonts w:ascii="仿宋_GB2312" w:eastAsia="仿宋_GB2312" w:hint="eastAsia"/>
          <w:sz w:val="32"/>
          <w:szCs w:val="32"/>
          <w:lang w:val="zh-CN"/>
        </w:rPr>
        <w:t>。</w:t>
      </w:r>
      <w:r>
        <w:rPr>
          <w:rFonts w:ascii="仿宋_GB2312" w:eastAsia="仿宋_GB2312" w:hint="eastAsia"/>
          <w:sz w:val="32"/>
          <w:szCs w:val="32"/>
        </w:rPr>
        <w:t>与年初预算相比，年初预算数</w:t>
      </w:r>
      <w:r>
        <w:rPr>
          <w:rFonts w:ascii="仿宋_GB2312" w:eastAsia="仿宋_GB2312" w:hint="eastAsia"/>
          <w:sz w:val="32"/>
          <w:szCs w:val="32"/>
          <w:lang w:val="zh-CN"/>
        </w:rPr>
        <w:t>206.43</w:t>
      </w:r>
      <w:r>
        <w:rPr>
          <w:rFonts w:ascii="仿宋_GB2312" w:eastAsia="仿宋_GB2312" w:hint="eastAsia"/>
          <w:sz w:val="32"/>
          <w:szCs w:val="32"/>
        </w:rPr>
        <w:t>万元，决算数</w:t>
      </w:r>
      <w:r>
        <w:rPr>
          <w:rFonts w:ascii="仿宋_GB2312" w:eastAsia="仿宋_GB2312" w:hint="eastAsia"/>
          <w:sz w:val="32"/>
          <w:szCs w:val="32"/>
          <w:lang w:val="zh-CN"/>
        </w:rPr>
        <w:t>625.65</w:t>
      </w:r>
      <w:r>
        <w:rPr>
          <w:rFonts w:ascii="仿宋_GB2312" w:eastAsia="仿宋_GB2312" w:hint="eastAsia"/>
          <w:sz w:val="32"/>
          <w:szCs w:val="32"/>
        </w:rPr>
        <w:t>万元，预决算差异率</w:t>
      </w:r>
      <w:r>
        <w:rPr>
          <w:rFonts w:ascii="仿宋_GB2312" w:eastAsia="仿宋_GB2312" w:hint="eastAsia"/>
          <w:sz w:val="32"/>
          <w:szCs w:val="32"/>
          <w:lang w:val="zh-CN"/>
        </w:rPr>
        <w:t>203.08%</w:t>
      </w:r>
      <w:r>
        <w:rPr>
          <w:rFonts w:ascii="仿宋_GB2312" w:eastAsia="仿宋_GB2312" w:hint="eastAsia"/>
          <w:sz w:val="32"/>
          <w:szCs w:val="32"/>
        </w:rPr>
        <w:t>，主要原因是：</w:t>
      </w:r>
      <w:r>
        <w:rPr>
          <w:rFonts w:ascii="仿宋_GB2312" w:eastAsia="仿宋_GB2312" w:hint="eastAsia"/>
          <w:sz w:val="32"/>
          <w:szCs w:val="32"/>
          <w:lang w:val="zh-CN"/>
        </w:rPr>
        <w:t>单位本年人员</w:t>
      </w:r>
      <w:r>
        <w:rPr>
          <w:rFonts w:ascii="仿宋_GB2312" w:eastAsia="仿宋_GB2312" w:hint="eastAsia"/>
          <w:sz w:val="32"/>
          <w:szCs w:val="32"/>
        </w:rPr>
        <w:t>增加</w:t>
      </w:r>
      <w:r>
        <w:rPr>
          <w:rFonts w:ascii="仿宋_GB2312" w:eastAsia="仿宋_GB2312" w:hint="eastAsia"/>
          <w:sz w:val="32"/>
          <w:szCs w:val="32"/>
          <w:lang w:val="zh-CN"/>
        </w:rPr>
        <w:t>，相应工资、津贴补贴、奖金增加。</w:t>
      </w:r>
    </w:p>
    <w:p w:rsidR="002D2FAA"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rsidR="002D2FA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.文化旅游体育与传媒支出（类）</w:t>
      </w:r>
      <w:r>
        <w:rPr>
          <w:rFonts w:ascii="仿宋_GB2312" w:eastAsia="仿宋_GB2312" w:hint="eastAsia"/>
          <w:kern w:val="2"/>
          <w:sz w:val="32"/>
          <w:szCs w:val="32"/>
          <w:lang w:val="zh-CN"/>
        </w:rPr>
        <w:t>614.84</w:t>
      </w:r>
      <w:r>
        <w:rPr>
          <w:rFonts w:ascii="仿宋_GB2312" w:eastAsia="仿宋_GB2312"/>
          <w:kern w:val="2"/>
          <w:sz w:val="32"/>
          <w:szCs w:val="32"/>
          <w:lang w:val="zh-CN"/>
        </w:rPr>
        <w:t>万元，占</w:t>
      </w:r>
      <w:r>
        <w:rPr>
          <w:rFonts w:ascii="仿宋_GB2312" w:eastAsia="仿宋_GB2312" w:hint="eastAsia"/>
          <w:kern w:val="2"/>
          <w:sz w:val="32"/>
          <w:szCs w:val="32"/>
          <w:lang w:val="zh-CN"/>
        </w:rPr>
        <w:t>98.27</w:t>
      </w:r>
      <w:r>
        <w:rPr>
          <w:rFonts w:ascii="仿宋_GB2312" w:eastAsia="仿宋_GB2312"/>
          <w:kern w:val="2"/>
          <w:sz w:val="32"/>
          <w:szCs w:val="32"/>
          <w:lang w:val="zh-CN"/>
        </w:rPr>
        <w:t>%；</w:t>
      </w:r>
    </w:p>
    <w:p w:rsidR="002D2FA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10.81</w:t>
      </w:r>
      <w:r>
        <w:rPr>
          <w:rFonts w:ascii="仿宋_GB2312" w:eastAsia="仿宋_GB2312"/>
          <w:kern w:val="2"/>
          <w:sz w:val="32"/>
          <w:szCs w:val="32"/>
          <w:lang w:val="zh-CN"/>
        </w:rPr>
        <w:t>万元，占</w:t>
      </w:r>
      <w:r>
        <w:rPr>
          <w:rFonts w:ascii="仿宋_GB2312" w:eastAsia="仿宋_GB2312" w:hint="eastAsia"/>
          <w:kern w:val="2"/>
          <w:sz w:val="32"/>
          <w:szCs w:val="32"/>
          <w:lang w:val="zh-CN"/>
        </w:rPr>
        <w:t>1.73</w:t>
      </w:r>
      <w:r>
        <w:rPr>
          <w:rFonts w:ascii="仿宋_GB2312" w:eastAsia="仿宋_GB2312"/>
          <w:kern w:val="2"/>
          <w:sz w:val="32"/>
          <w:szCs w:val="32"/>
          <w:lang w:val="zh-CN"/>
        </w:rPr>
        <w:t>%</w:t>
      </w:r>
      <w:r>
        <w:rPr>
          <w:rFonts w:ascii="仿宋_GB2312" w:eastAsia="仿宋_GB2312" w:hint="eastAsia"/>
          <w:kern w:val="2"/>
          <w:sz w:val="32"/>
          <w:szCs w:val="32"/>
          <w:lang w:val="zh-CN"/>
        </w:rPr>
        <w:t>。</w:t>
      </w:r>
    </w:p>
    <w:p w:rsidR="002D2FA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rsidR="002D2F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lastRenderedPageBreak/>
        <w:t>1.文化旅游体育与传媒支出（类）文物（款）行政运行（项）:支出决算数为176.96万元，比上年决算增加49.12万元，增长38.42%，主要原因是：</w:t>
      </w:r>
      <w:r>
        <w:rPr>
          <w:rFonts w:ascii="仿宋_GB2312" w:eastAsia="仿宋_GB2312" w:hint="eastAsia"/>
          <w:sz w:val="32"/>
          <w:szCs w:val="32"/>
          <w:lang w:val="zh-CN"/>
        </w:rPr>
        <w:t>单位本年人员</w:t>
      </w:r>
      <w:r>
        <w:rPr>
          <w:rFonts w:ascii="仿宋_GB2312" w:eastAsia="仿宋_GB2312" w:hint="eastAsia"/>
          <w:sz w:val="32"/>
          <w:szCs w:val="32"/>
        </w:rPr>
        <w:t>增加</w:t>
      </w:r>
      <w:r>
        <w:rPr>
          <w:rFonts w:ascii="仿宋_GB2312" w:eastAsia="仿宋_GB2312" w:hint="eastAsia"/>
          <w:sz w:val="32"/>
          <w:szCs w:val="32"/>
          <w:lang w:val="zh-CN"/>
        </w:rPr>
        <w:t>，相应工资、津贴补贴、奖金增加。</w:t>
      </w:r>
    </w:p>
    <w:p w:rsidR="002D2F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2.文化旅游体育与传媒支出（类）文物（款）文物保护（项）:支出决算数为85.73万元，比上年决算减少115.73万元，下降57.45%，主要原因是：单位本年</w:t>
      </w:r>
      <w:r>
        <w:rPr>
          <w:rFonts w:ascii="仿宋_GB2312" w:eastAsia="仿宋_GB2312" w:hint="eastAsia"/>
          <w:sz w:val="32"/>
          <w:szCs w:val="32"/>
          <w:lang w:val="zh-CN"/>
        </w:rPr>
        <w:t>国家文物保护资金</w:t>
      </w:r>
      <w:r>
        <w:rPr>
          <w:rFonts w:ascii="仿宋_GB2312" w:eastAsia="仿宋_GB2312" w:hint="eastAsia"/>
          <w:sz w:val="32"/>
          <w:szCs w:val="32"/>
        </w:rPr>
        <w:t>减少</w:t>
      </w:r>
      <w:r>
        <w:rPr>
          <w:rFonts w:ascii="仿宋_GB2312" w:eastAsia="仿宋_GB2312" w:hint="eastAsia"/>
          <w:sz w:val="32"/>
          <w:szCs w:val="32"/>
          <w:lang w:val="zh-CN"/>
        </w:rPr>
        <w:t>。</w:t>
      </w:r>
    </w:p>
    <w:p w:rsidR="002D2F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3.社会保障和就业支出（类）行政事业单位养老支出（款）事业单位离退休（项）:支出决算数为3.30万元，比上年决算增加1.87万元，增长131.27%，主要原因是：单位本年有新增退休人员</w:t>
      </w:r>
      <w:r>
        <w:rPr>
          <w:rFonts w:ascii="仿宋_GB2312" w:eastAsia="仿宋_GB2312" w:hint="eastAsia"/>
          <w:sz w:val="32"/>
          <w:szCs w:val="32"/>
          <w:lang w:val="zh-CN"/>
        </w:rPr>
        <w:t>。</w:t>
      </w:r>
    </w:p>
    <w:p w:rsidR="002D2FAA" w:rsidRDefault="00000000">
      <w:pPr>
        <w:ind w:firstLineChars="200" w:firstLine="640"/>
        <w:rPr>
          <w:rFonts w:ascii="仿宋_GB2312" w:eastAsia="仿宋_GB2312"/>
          <w:sz w:val="32"/>
          <w:szCs w:val="32"/>
          <w:lang w:val="zh-CN"/>
        </w:rPr>
      </w:pPr>
      <w:r>
        <w:rPr>
          <w:rFonts w:ascii="仿宋_GB2312" w:eastAsia="仿宋_GB2312" w:hint="eastAsia"/>
          <w:sz w:val="32"/>
          <w:szCs w:val="32"/>
        </w:rPr>
        <w:t>4.文化旅游体育与传媒支出（类）其他文化旅游体育与传媒支出（款）其他文化旅游体育与传媒支出（项）:支出决算数为2.00万元，比上年决算增加0.00万元，增长0.00%，主要原因是：单位本年</w:t>
      </w:r>
      <w:r>
        <w:rPr>
          <w:rFonts w:eastAsia="仿宋_GB2312" w:hint="eastAsia"/>
          <w:sz w:val="32"/>
          <w:szCs w:val="32"/>
        </w:rPr>
        <w:t>中央支持地方公共文化服务体修建设补助资金与上年保持不变</w:t>
      </w:r>
      <w:r>
        <w:rPr>
          <w:rFonts w:eastAsia="仿宋_GB2312" w:hint="eastAsia"/>
          <w:sz w:val="32"/>
          <w:szCs w:val="32"/>
          <w:lang w:val="zh-CN"/>
        </w:rPr>
        <w:t>。</w:t>
      </w:r>
    </w:p>
    <w:p w:rsidR="002D2F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5.文化旅游体育与传媒支出（类）文物（款）博物馆（项）:支出决算数为350.16万元，比上年决算增加120.31万元，增长52.35%，主要原因是：单位本年</w:t>
      </w:r>
      <w:r>
        <w:rPr>
          <w:rFonts w:ascii="仿宋_GB2312" w:eastAsia="仿宋_GB2312" w:hint="eastAsia"/>
          <w:sz w:val="32"/>
          <w:szCs w:val="32"/>
          <w:lang w:val="zh-CN"/>
        </w:rPr>
        <w:t>木垒县博物馆装修工程费用</w:t>
      </w:r>
      <w:r>
        <w:rPr>
          <w:rFonts w:ascii="仿宋_GB2312" w:eastAsia="仿宋_GB2312" w:hint="eastAsia"/>
          <w:sz w:val="32"/>
          <w:szCs w:val="32"/>
        </w:rPr>
        <w:t>增加</w:t>
      </w:r>
      <w:r>
        <w:rPr>
          <w:rFonts w:ascii="仿宋_GB2312" w:eastAsia="仿宋_GB2312" w:hint="eastAsia"/>
          <w:sz w:val="32"/>
          <w:szCs w:val="32"/>
          <w:lang w:val="zh-CN"/>
        </w:rPr>
        <w:t>。</w:t>
      </w:r>
    </w:p>
    <w:p w:rsidR="002D2F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6.社会保障和就业支出（类）行政事业单位养老支出</w:t>
      </w:r>
      <w:r>
        <w:rPr>
          <w:rFonts w:ascii="仿宋_GB2312" w:eastAsia="仿宋_GB2312" w:hint="eastAsia"/>
          <w:sz w:val="32"/>
          <w:szCs w:val="32"/>
        </w:rPr>
        <w:lastRenderedPageBreak/>
        <w:t>（款）机关事业单位职业年金缴费支出（项）:支出决算数为7.51万元，比上年决算增加7.51万元，增长100%，主要原因是：单位本年</w:t>
      </w:r>
      <w:r>
        <w:rPr>
          <w:rFonts w:eastAsia="仿宋_GB2312" w:hint="eastAsia"/>
          <w:sz w:val="32"/>
          <w:szCs w:val="32"/>
        </w:rPr>
        <w:t>退休人员增加，</w:t>
      </w:r>
      <w:r>
        <w:rPr>
          <w:rFonts w:ascii="仿宋_GB2312" w:eastAsia="仿宋_GB2312" w:hint="eastAsia"/>
          <w:sz w:val="32"/>
          <w:szCs w:val="32"/>
        </w:rPr>
        <w:t>职业年金缴费支出</w:t>
      </w:r>
      <w:r>
        <w:rPr>
          <w:rFonts w:eastAsia="仿宋_GB2312" w:hint="eastAsia"/>
          <w:sz w:val="32"/>
          <w:szCs w:val="32"/>
        </w:rPr>
        <w:t>增加</w:t>
      </w:r>
      <w:r>
        <w:rPr>
          <w:rFonts w:ascii="仿宋_GB2312" w:eastAsia="仿宋_GB2312" w:hint="eastAsia"/>
          <w:sz w:val="32"/>
          <w:szCs w:val="32"/>
          <w:lang w:val="zh-CN"/>
        </w:rPr>
        <w:t>。</w:t>
      </w:r>
    </w:p>
    <w:p w:rsidR="002D2F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7.住房保障支出（类）住房改革支出（款）住房公积金（项）:支出决算数为0.00万元，比上年决算减少10.74万元，下降100%，主要原因是：</w:t>
      </w:r>
      <w:r>
        <w:rPr>
          <w:rFonts w:ascii="仿宋_GB2312" w:eastAsia="仿宋_GB2312" w:hint="eastAsia"/>
          <w:sz w:val="32"/>
          <w:szCs w:val="32"/>
          <w:lang w:val="zh-CN"/>
        </w:rPr>
        <w:t>上年度该经费在主款核算，未单独设立款项，本年度根据预算细化要求明细列支。</w:t>
      </w:r>
    </w:p>
    <w:p w:rsidR="002D2F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8.社会保障和就业支出（类）行政事业单位养老支出（款）机关事业单位基本养老保险缴费支出（项）:支出决算数为0.00万元，比上年决算减少13.85万元，下降100%，主要原因是：</w:t>
      </w:r>
      <w:r>
        <w:rPr>
          <w:rFonts w:ascii="仿宋_GB2312" w:eastAsia="仿宋_GB2312" w:hint="eastAsia"/>
          <w:sz w:val="32"/>
          <w:szCs w:val="32"/>
          <w:lang w:val="zh-CN"/>
        </w:rPr>
        <w:t>上年度该经费在主款核算，未单独设立款项，本年度根据预算细化要求明细列支。</w:t>
      </w:r>
    </w:p>
    <w:p w:rsidR="002D2FA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rsidR="002D2FA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187.77万元，其中：人员经费174.05万元，包括：基本工资、津贴补贴、奖金、机关事业单位基本养老保险缴费、职业年金缴费、职工基本医疗保险缴费、公务员医疗补助缴费、其他社会保障缴费、住房公积金、其他工资福利支出、退休费、奖励金、其他对个人和家庭的补助。</w:t>
      </w:r>
    </w:p>
    <w:p w:rsidR="002D2FAA"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公用经费13.72万元，包括：办公费、水费、电费、取暖费。</w:t>
      </w:r>
    </w:p>
    <w:p w:rsidR="002D2FA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rsidR="002D2F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单位本年无此项支出</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单位本年无此项支出</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单位本年无此项支出</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单位本年无此项支出</w:t>
      </w:r>
      <w:r>
        <w:rPr>
          <w:rFonts w:ascii="仿宋_GB2312" w:eastAsia="仿宋_GB2312" w:hint="eastAsia"/>
          <w:sz w:val="32"/>
          <w:szCs w:val="32"/>
          <w:lang w:val="zh-CN"/>
        </w:rPr>
        <w:t>。</w:t>
      </w:r>
    </w:p>
    <w:p w:rsidR="002D2F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2D2F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Pr>
          <w:rFonts w:ascii="仿宋_GB2312" w:eastAsia="仿宋_GB2312" w:hint="eastAsia"/>
          <w:sz w:val="32"/>
          <w:szCs w:val="32"/>
        </w:rPr>
        <w:t>单位本年无此项支出</w:t>
      </w:r>
      <w:r>
        <w:rPr>
          <w:rFonts w:ascii="仿宋_GB2312" w:eastAsia="仿宋_GB2312" w:hint="eastAsia"/>
          <w:sz w:val="32"/>
          <w:szCs w:val="32"/>
          <w:lang w:val="zh-CN"/>
        </w:rPr>
        <w:t>。单位全年安排的因公出国（境）团组0个，因公出国（境）0人次。</w:t>
      </w:r>
    </w:p>
    <w:p w:rsidR="002D2FA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Pr>
          <w:rFonts w:ascii="仿宋_GB2312" w:eastAsia="仿宋_GB2312" w:hint="eastAsia"/>
          <w:sz w:val="32"/>
          <w:szCs w:val="32"/>
        </w:rPr>
        <w:t>单位本年无此项支出</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对比无差异</w:t>
      </w:r>
      <w:r>
        <w:rPr>
          <w:rFonts w:ascii="仿宋_GB2312" w:eastAsia="仿宋_GB2312" w:hint="eastAsia"/>
          <w:sz w:val="32"/>
          <w:szCs w:val="32"/>
          <w:lang w:val="zh-CN"/>
        </w:rPr>
        <w:t>。</w:t>
      </w:r>
    </w:p>
    <w:p w:rsidR="002D2F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Pr>
          <w:rFonts w:ascii="仿宋_GB2312" w:eastAsia="仿宋_GB2312" w:hint="eastAsia"/>
          <w:sz w:val="32"/>
          <w:szCs w:val="32"/>
        </w:rPr>
        <w:t>单位本年无此项支出</w:t>
      </w:r>
      <w:r>
        <w:rPr>
          <w:rFonts w:ascii="仿宋_GB2312" w:eastAsia="仿宋_GB2312" w:hint="eastAsia"/>
          <w:sz w:val="32"/>
          <w:szCs w:val="32"/>
          <w:lang w:val="zh-CN"/>
        </w:rPr>
        <w:t>。单位全年安排的国内公务接待0批次，0人次。</w:t>
      </w:r>
    </w:p>
    <w:p w:rsidR="002D2F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w:t>
      </w:r>
      <w:r>
        <w:rPr>
          <w:rFonts w:ascii="仿宋_GB2312" w:eastAsia="仿宋_GB2312" w:hint="eastAsia"/>
          <w:sz w:val="32"/>
          <w:szCs w:val="32"/>
          <w:lang w:val="zh-CN"/>
        </w:rPr>
        <w:lastRenderedPageBreak/>
        <w:t>数0.00万元，决算数0.00万元，预决算差异率0.00%，主要原因是：</w:t>
      </w:r>
      <w:r>
        <w:rPr>
          <w:rFonts w:ascii="仿宋_GB2312" w:eastAsia="仿宋_GB2312" w:hint="eastAsia"/>
          <w:sz w:val="32"/>
          <w:szCs w:val="32"/>
        </w:rPr>
        <w:t>单位本年无此项支出</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Pr>
          <w:rFonts w:ascii="仿宋_GB2312" w:eastAsia="仿宋_GB2312" w:hint="eastAsia"/>
          <w:sz w:val="32"/>
          <w:szCs w:val="32"/>
        </w:rPr>
        <w:t>单位本年无此项支出</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单位本年无此项支出</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单位本年无此项支出</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单位本年无此项支出</w:t>
      </w:r>
      <w:r>
        <w:rPr>
          <w:rFonts w:ascii="仿宋_GB2312" w:eastAsia="仿宋_GB2312" w:hint="eastAsia"/>
          <w:sz w:val="32"/>
          <w:szCs w:val="32"/>
          <w:lang w:val="zh-CN"/>
        </w:rPr>
        <w:t>。</w:t>
      </w:r>
    </w:p>
    <w:p w:rsidR="002D2FAA"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rsidR="002D2FA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rsidR="002D2FAA" w:rsidRDefault="00000000">
      <w:pPr>
        <w:ind w:firstLineChars="200" w:firstLine="640"/>
        <w:jc w:val="left"/>
        <w:outlineLvl w:val="1"/>
        <w:rPr>
          <w:rFonts w:ascii="仿宋_GB2312" w:eastAsia="仿宋_GB2312"/>
          <w:sz w:val="32"/>
          <w:szCs w:val="32"/>
        </w:rPr>
      </w:pPr>
      <w:r>
        <w:rPr>
          <w:rFonts w:ascii="黑体" w:eastAsia="黑体" w:hAnsi="黑体" w:cs="宋体" w:hint="eastAsia"/>
          <w:bCs/>
          <w:kern w:val="0"/>
          <w:sz w:val="32"/>
          <w:szCs w:val="32"/>
        </w:rPr>
        <w:t>九、国有资本经营预算财政拨款收入支出决算情况说明</w:t>
      </w:r>
    </w:p>
    <w:p w:rsidR="002D2FA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2D2FAA"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rsidR="002D2FAA"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rsidR="002D2FAA" w:rsidRDefault="00000000">
      <w:pPr>
        <w:ind w:firstLineChars="200" w:firstLine="640"/>
        <w:jc w:val="left"/>
        <w:rPr>
          <w:rFonts w:eastAsia="仿宋_GB2312"/>
          <w:sz w:val="32"/>
          <w:szCs w:val="32"/>
        </w:rPr>
      </w:pPr>
      <w:bookmarkStart w:id="24" w:name="_Toc26704"/>
      <w:bookmarkStart w:id="25" w:name="_Toc227"/>
      <w:r>
        <w:rPr>
          <w:rFonts w:ascii="仿宋_GB2312" w:eastAsia="仿宋_GB2312" w:hint="eastAsia"/>
          <w:sz w:val="32"/>
          <w:szCs w:val="32"/>
          <w:lang w:val="zh-CN"/>
        </w:rPr>
        <w:t>2023年度</w:t>
      </w:r>
      <w:r>
        <w:rPr>
          <w:rFonts w:ascii="仿宋_GB2312" w:eastAsia="仿宋_GB2312" w:hint="eastAsia"/>
          <w:sz w:val="32"/>
          <w:szCs w:val="32"/>
        </w:rPr>
        <w:t>木垒哈萨克自治县博物馆（行政单位和参照公务员法管理事业单位）机关运行经费支出13.72万元，</w:t>
      </w:r>
      <w:r>
        <w:rPr>
          <w:rFonts w:ascii="仿宋_GB2312" w:eastAsia="仿宋_GB2312" w:hint="eastAsia"/>
          <w:sz w:val="32"/>
          <w:szCs w:val="32"/>
          <w:lang w:val="zh-CN"/>
        </w:rPr>
        <w:t>比上</w:t>
      </w:r>
      <w:r>
        <w:rPr>
          <w:rFonts w:ascii="仿宋_GB2312" w:eastAsia="仿宋_GB2312" w:hint="eastAsia"/>
          <w:sz w:val="32"/>
          <w:szCs w:val="32"/>
          <w:lang w:val="zh-CN"/>
        </w:rPr>
        <w:lastRenderedPageBreak/>
        <w:t>年增加13.72万元，增长100.00%，主要原因是：</w:t>
      </w:r>
      <w:r>
        <w:rPr>
          <w:rFonts w:ascii="仿宋_GB2312" w:eastAsia="仿宋_GB2312" w:hint="eastAsia"/>
          <w:sz w:val="32"/>
          <w:szCs w:val="32"/>
        </w:rPr>
        <w:t>单位本年办公费、取暖费、维修费较上年增加。</w:t>
      </w:r>
    </w:p>
    <w:p w:rsidR="002D2FAA"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2D2F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2023年度政府采购支出总额12.66万元，其中：政府采购货物支出5.76万元、政府采购工程支出0.00万元、政府采购服务支出6.90万元。</w:t>
      </w:r>
    </w:p>
    <w:p w:rsidR="002D2FA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授予中小企业合同金额12.66万元，占政府采购支出总额的100.00</w:t>
      </w:r>
      <w:r>
        <w:rPr>
          <w:rFonts w:ascii="仿宋_GB2312" w:eastAsia="仿宋_GB2312"/>
          <w:sz w:val="32"/>
          <w:szCs w:val="32"/>
          <w:lang w:val="zh-CN"/>
        </w:rPr>
        <w:t>%</w:t>
      </w:r>
      <w:r>
        <w:rPr>
          <w:rFonts w:ascii="仿宋_GB2312" w:eastAsia="仿宋_GB2312" w:hint="eastAsia"/>
          <w:sz w:val="32"/>
          <w:szCs w:val="32"/>
          <w:lang w:val="zh-CN"/>
        </w:rPr>
        <w:t>，其中：授予小</w:t>
      </w:r>
      <w:proofErr w:type="gramStart"/>
      <w:r>
        <w:rPr>
          <w:rFonts w:ascii="仿宋_GB2312" w:eastAsia="仿宋_GB2312" w:hint="eastAsia"/>
          <w:sz w:val="32"/>
          <w:szCs w:val="32"/>
          <w:lang w:val="zh-CN"/>
        </w:rPr>
        <w:t>微企业</w:t>
      </w:r>
      <w:proofErr w:type="gramEnd"/>
      <w:r>
        <w:rPr>
          <w:rFonts w:ascii="仿宋_GB2312" w:eastAsia="仿宋_GB2312" w:hint="eastAsia"/>
          <w:sz w:val="32"/>
          <w:szCs w:val="32"/>
          <w:lang w:val="zh-CN"/>
        </w:rPr>
        <w:t>合同金额12.66万元，占政府采购支出总额的100.00</w:t>
      </w:r>
      <w:r>
        <w:rPr>
          <w:rFonts w:ascii="仿宋_GB2312" w:eastAsia="仿宋_GB2312"/>
          <w:sz w:val="32"/>
          <w:szCs w:val="32"/>
          <w:lang w:val="zh-CN"/>
        </w:rPr>
        <w:t>%</w:t>
      </w:r>
      <w:r>
        <w:rPr>
          <w:rFonts w:ascii="仿宋_GB2312" w:eastAsia="仿宋_GB2312" w:hint="eastAsia"/>
          <w:sz w:val="32"/>
          <w:szCs w:val="32"/>
        </w:rPr>
        <w:t>。</w:t>
      </w:r>
    </w:p>
    <w:p w:rsidR="002D2FAA"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rsidR="002D2F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368.06</w:t>
      </w:r>
      <w:r>
        <w:rPr>
          <w:rFonts w:ascii="仿宋_GB2312" w:eastAsia="仿宋_GB2312" w:hint="eastAsia"/>
          <w:sz w:val="32"/>
          <w:szCs w:val="32"/>
        </w:rPr>
        <w:t>万元，房</w:t>
      </w:r>
      <w:r>
        <w:rPr>
          <w:rFonts w:ascii="仿宋_GB2312" w:eastAsia="仿宋_GB2312" w:hint="eastAsia"/>
          <w:sz w:val="32"/>
          <w:szCs w:val="32"/>
          <w:lang w:val="zh-CN"/>
        </w:rPr>
        <w:t>屋0.0</w:t>
      </w:r>
      <w:r>
        <w:rPr>
          <w:rFonts w:ascii="仿宋_GB2312" w:eastAsia="仿宋_GB2312" w:hint="eastAsia"/>
          <w:sz w:val="32"/>
          <w:szCs w:val="32"/>
        </w:rPr>
        <w:t>0</w:t>
      </w:r>
      <w:r>
        <w:rPr>
          <w:rFonts w:ascii="仿宋_GB2312" w:eastAsia="仿宋_GB2312" w:hint="eastAsia"/>
          <w:sz w:val="32"/>
          <w:szCs w:val="32"/>
          <w:lang w:val="zh-CN"/>
        </w:rPr>
        <w:t>平方米，价值0.00万元。车辆0辆，价值0.00万元，其中：副部（省）级及以上领导用车0辆、主要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单位无其他用车</w:t>
      </w:r>
      <w:r>
        <w:rPr>
          <w:rFonts w:ascii="仿宋_GB2312" w:eastAsia="仿宋_GB2312" w:hint="eastAsia"/>
          <w:sz w:val="32"/>
          <w:szCs w:val="32"/>
          <w:lang w:val="zh-CN"/>
        </w:rPr>
        <w:t>；单价100万元（含）以上设备（不含车辆）1</w:t>
      </w:r>
      <w:r>
        <w:rPr>
          <w:rFonts w:ascii="仿宋_GB2312" w:eastAsia="仿宋_GB2312" w:hint="eastAsia"/>
          <w:sz w:val="32"/>
          <w:szCs w:val="32"/>
        </w:rPr>
        <w:t>台（</w:t>
      </w:r>
      <w:r>
        <w:rPr>
          <w:rFonts w:ascii="仿宋_GB2312" w:eastAsia="仿宋_GB2312" w:hint="eastAsia"/>
          <w:sz w:val="32"/>
          <w:szCs w:val="32"/>
          <w:lang w:val="zh-CN"/>
        </w:rPr>
        <w:t>套）。</w:t>
      </w:r>
    </w:p>
    <w:p w:rsidR="002D2FAA"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rsidR="002D2FAA"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预算总额625.65万元，实际执行总额625.65万元；预算绩效评价项目3个，全年预算数127.72万元，全年执行数127.72万元。预算绩效管</w:t>
      </w:r>
      <w:r>
        <w:rPr>
          <w:rFonts w:ascii="仿宋_GB2312" w:eastAsia="仿宋_GB2312" w:hint="eastAsia"/>
          <w:sz w:val="32"/>
          <w:szCs w:val="32"/>
        </w:rPr>
        <w:lastRenderedPageBreak/>
        <w:t>理取得的成效：一是做好群众服务工作，保障社会大局稳定，提高群众安全感；二是促进统筹规划和综合协调，提升人居环境质量,提升群众人居环境。发现的问题及原因：一是部门职能不明确，个别工作分工不清晰，</w:t>
      </w:r>
      <w:proofErr w:type="gramStart"/>
      <w:r>
        <w:rPr>
          <w:rFonts w:ascii="仿宋_GB2312" w:eastAsia="仿宋_GB2312" w:hint="eastAsia"/>
          <w:sz w:val="32"/>
          <w:szCs w:val="32"/>
        </w:rPr>
        <w:t>且人员</w:t>
      </w:r>
      <w:proofErr w:type="gramEnd"/>
      <w:r>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W w:w="5000" w:type="pct"/>
        <w:jc w:val="center"/>
        <w:tblLook w:val="04A0" w:firstRow="1" w:lastRow="0" w:firstColumn="1" w:lastColumn="0" w:noHBand="0" w:noVBand="1"/>
      </w:tblPr>
      <w:tblGrid>
        <w:gridCol w:w="1554"/>
        <w:gridCol w:w="1197"/>
        <w:gridCol w:w="1171"/>
        <w:gridCol w:w="968"/>
        <w:gridCol w:w="1001"/>
        <w:gridCol w:w="793"/>
        <w:gridCol w:w="916"/>
        <w:gridCol w:w="922"/>
      </w:tblGrid>
      <w:tr w:rsidR="002D2FAA">
        <w:trPr>
          <w:trHeight w:val="522"/>
          <w:jc w:val="center"/>
        </w:trPr>
        <w:tc>
          <w:tcPr>
            <w:tcW w:w="14194"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2D2FAA">
        <w:trPr>
          <w:trHeight w:val="360"/>
          <w:jc w:val="center"/>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2D2FAA">
        <w:trPr>
          <w:trHeight w:val="6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w:t>
            </w:r>
          </w:p>
        </w:tc>
      </w:tr>
      <w:tr w:rsidR="002D2FAA">
        <w:trPr>
          <w:trHeight w:val="57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2D2FAA">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D2FAA">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2D2FAA">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2D2FAA">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206.43</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625.6</w:t>
            </w:r>
            <w:r w:rsidR="00245950">
              <w:rPr>
                <w:rFonts w:ascii="宋体" w:hAnsi="宋体" w:cs="宋体" w:hint="eastAsia"/>
                <w:color w:val="000000"/>
                <w:kern w:val="0"/>
                <w:sz w:val="20"/>
                <w:szCs w:val="20"/>
                <w:lang w:bidi="ar"/>
              </w:rPr>
              <w:t>7</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625.6</w:t>
            </w:r>
            <w:r w:rsidR="00245950">
              <w:rPr>
                <w:rFonts w:ascii="宋体" w:hAnsi="宋体" w:cs="宋体" w:hint="eastAsia"/>
                <w:color w:val="000000"/>
                <w:kern w:val="0"/>
                <w:sz w:val="20"/>
                <w:szCs w:val="20"/>
                <w:lang w:bidi="ar"/>
              </w:rPr>
              <w:t>7</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r>
      <w:tr w:rsidR="002D2FAA">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r>
      <w:tr w:rsidR="002D2FAA">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206.43</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625.6</w:t>
            </w:r>
            <w:r w:rsidR="00245950">
              <w:rPr>
                <w:rFonts w:ascii="宋体" w:hAnsi="宋体" w:cs="宋体" w:hint="eastAsia"/>
                <w:color w:val="000000"/>
                <w:kern w:val="0"/>
                <w:sz w:val="20"/>
                <w:szCs w:val="20"/>
                <w:lang w:bidi="ar"/>
              </w:rPr>
              <w:t>7</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625.6</w:t>
            </w:r>
            <w:r w:rsidR="00245950">
              <w:rPr>
                <w:rFonts w:ascii="宋体" w:hAnsi="宋体" w:cs="宋体" w:hint="eastAsia"/>
                <w:color w:val="000000"/>
                <w:kern w:val="0"/>
                <w:sz w:val="20"/>
                <w:szCs w:val="20"/>
                <w:lang w:bidi="ar"/>
              </w:rPr>
              <w:t>7</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2D2FAA">
        <w:trPr>
          <w:trHeight w:val="705"/>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2D2FAA">
        <w:trPr>
          <w:trHeight w:val="200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55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2023年举办博物馆展览活动10次，举办宣传培训4次；全年免费开放博物馆300天以上；做好县域内的文物保护和管理工作，文物档案管理覆盖率达到100%。保障博物馆的正常运行，各项工作得到正常开展。</w:t>
            </w:r>
          </w:p>
        </w:tc>
        <w:tc>
          <w:tcPr>
            <w:tcW w:w="594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部门整体自评，我单位已完成如下工作：2023年举办博物馆展览活动10次，举办宣传培训4次；全年免费开放博物馆300天以上；做好县域内的文物保护和管理工作，文物档案管理覆盖率达到100%。保障博物馆的正常运行，各项工作得到正常开展。</w:t>
            </w:r>
          </w:p>
        </w:tc>
      </w:tr>
      <w:tr w:rsidR="002D2FAA">
        <w:trPr>
          <w:trHeight w:val="58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2D2FAA">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&gt;=8人</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关于木垒哈萨克自治县文化体育广播电视和旅游局所属事业单位机构编制调整有关事宜的通知</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8人</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r>
      <w:tr w:rsidR="002D2FAA">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房屋建筑物供暖面积</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&gt;=3000平方米</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关于木垒哈萨克自治县文化体育广播电视和旅游局所属事业单位机构编制调整有关</w:t>
            </w:r>
            <w:r>
              <w:rPr>
                <w:rFonts w:ascii="宋体" w:hAnsi="宋体" w:cs="宋体" w:hint="eastAsia"/>
                <w:color w:val="000000"/>
                <w:kern w:val="0"/>
                <w:sz w:val="20"/>
                <w:szCs w:val="20"/>
                <w:lang w:bidi="ar"/>
              </w:rPr>
              <w:lastRenderedPageBreak/>
              <w:t>事宜的通知</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8</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3000平方米</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r>
      <w:tr w:rsidR="002D2FAA">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开展博物馆展览次数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13</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13</w:t>
            </w:r>
          </w:p>
        </w:tc>
      </w:tr>
      <w:tr w:rsidR="002D2FAA">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博物馆开展成功率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r>
      <w:tr w:rsidR="002D2FAA">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参观接待开馆时间</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&gt;=300天</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300天</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r>
      <w:tr w:rsidR="002D2FAA">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举办宣传活动次数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&gt;=4次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r>
      <w:tr w:rsidR="002D2FAA">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举办历史文化活动次数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r>
      <w:tr w:rsidR="002D2FAA">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文物档案管理覆盖率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13</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13</w:t>
            </w:r>
          </w:p>
        </w:tc>
      </w:tr>
      <w:tr w:rsidR="002D2FAA">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社会效益</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r>
      <w:tr w:rsidR="002D2FAA">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r>
      <w:tr w:rsidR="002D2FAA">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r>
    </w:tbl>
    <w:p w:rsidR="002D2FAA" w:rsidRDefault="002D2FAA">
      <w:pPr>
        <w:ind w:firstLineChars="200" w:firstLine="640"/>
        <w:jc w:val="left"/>
        <w:rPr>
          <w:rFonts w:ascii="黑体" w:eastAsia="黑体" w:hAnsi="黑体" w:cs="宋体" w:hint="eastAsia"/>
          <w:bCs/>
          <w:kern w:val="0"/>
          <w:sz w:val="32"/>
          <w:szCs w:val="32"/>
        </w:rPr>
      </w:pPr>
    </w:p>
    <w:tbl>
      <w:tblPr>
        <w:tblW w:w="5000" w:type="pct"/>
        <w:jc w:val="center"/>
        <w:tblLayout w:type="fixed"/>
        <w:tblLook w:val="04A0" w:firstRow="1" w:lastRow="0" w:firstColumn="1" w:lastColumn="0" w:noHBand="0" w:noVBand="1"/>
      </w:tblPr>
      <w:tblGrid>
        <w:gridCol w:w="495"/>
        <w:gridCol w:w="496"/>
        <w:gridCol w:w="818"/>
        <w:gridCol w:w="843"/>
        <w:gridCol w:w="974"/>
        <w:gridCol w:w="595"/>
        <w:gridCol w:w="893"/>
        <w:gridCol w:w="786"/>
        <w:gridCol w:w="248"/>
        <w:gridCol w:w="406"/>
        <w:gridCol w:w="260"/>
        <w:gridCol w:w="554"/>
        <w:gridCol w:w="401"/>
        <w:gridCol w:w="753"/>
      </w:tblGrid>
      <w:tr w:rsidR="002D2FAA" w:rsidTr="009470C0">
        <w:trPr>
          <w:trHeight w:val="288"/>
          <w:jc w:val="center"/>
        </w:trPr>
        <w:tc>
          <w:tcPr>
            <w:tcW w:w="8522"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项目支出绩效自评表</w:t>
            </w:r>
          </w:p>
        </w:tc>
      </w:tr>
      <w:tr w:rsidR="002D2FAA" w:rsidTr="009470C0">
        <w:trPr>
          <w:trHeight w:val="288"/>
          <w:jc w:val="center"/>
        </w:trPr>
        <w:tc>
          <w:tcPr>
            <w:tcW w:w="8522"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2D2FAA" w:rsidTr="009470C0">
        <w:trPr>
          <w:trHeight w:val="288"/>
          <w:jc w:val="center"/>
        </w:trPr>
        <w:tc>
          <w:tcPr>
            <w:tcW w:w="9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7531"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2023年中央补助地方博物馆纪念馆免费开放补助资金</w:t>
            </w:r>
          </w:p>
        </w:tc>
      </w:tr>
      <w:tr w:rsidR="002D2FAA" w:rsidTr="009470C0">
        <w:trPr>
          <w:trHeight w:val="288"/>
          <w:jc w:val="center"/>
        </w:trPr>
        <w:tc>
          <w:tcPr>
            <w:tcW w:w="9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412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木垒县文物局本级</w:t>
            </w:r>
          </w:p>
        </w:tc>
        <w:tc>
          <w:tcPr>
            <w:tcW w:w="10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237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木垒县文物局本级</w:t>
            </w:r>
          </w:p>
        </w:tc>
      </w:tr>
      <w:tr w:rsidR="002D2FAA" w:rsidTr="009470C0">
        <w:trPr>
          <w:trHeight w:val="480"/>
          <w:jc w:val="center"/>
        </w:trPr>
        <w:tc>
          <w:tcPr>
            <w:tcW w:w="99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16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4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0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6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9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7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2D2FAA" w:rsidTr="009470C0">
        <w:trPr>
          <w:trHeight w:val="440"/>
          <w:jc w:val="center"/>
        </w:trPr>
        <w:tc>
          <w:tcPr>
            <w:tcW w:w="99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6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40.00</w:t>
            </w:r>
          </w:p>
        </w:tc>
        <w:tc>
          <w:tcPr>
            <w:tcW w:w="14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40.00</w:t>
            </w:r>
          </w:p>
        </w:tc>
        <w:tc>
          <w:tcPr>
            <w:tcW w:w="10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40.00</w:t>
            </w:r>
          </w:p>
        </w:tc>
        <w:tc>
          <w:tcPr>
            <w:tcW w:w="6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7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2D2FAA" w:rsidTr="009470C0">
        <w:trPr>
          <w:trHeight w:val="440"/>
          <w:jc w:val="center"/>
        </w:trPr>
        <w:tc>
          <w:tcPr>
            <w:tcW w:w="99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6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40.00</w:t>
            </w:r>
          </w:p>
        </w:tc>
        <w:tc>
          <w:tcPr>
            <w:tcW w:w="14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40.00</w:t>
            </w:r>
          </w:p>
        </w:tc>
        <w:tc>
          <w:tcPr>
            <w:tcW w:w="10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40.00</w:t>
            </w:r>
          </w:p>
        </w:tc>
        <w:tc>
          <w:tcPr>
            <w:tcW w:w="6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2D2FAA" w:rsidTr="009470C0">
        <w:trPr>
          <w:trHeight w:val="440"/>
          <w:jc w:val="center"/>
        </w:trPr>
        <w:tc>
          <w:tcPr>
            <w:tcW w:w="99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6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其他资金</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4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2D2FAA" w:rsidTr="009470C0">
        <w:trPr>
          <w:trHeight w:val="440"/>
          <w:jc w:val="center"/>
        </w:trPr>
        <w:tc>
          <w:tcPr>
            <w:tcW w:w="99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6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4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0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6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2D2FAA" w:rsidTr="009470C0">
        <w:trPr>
          <w:trHeight w:val="288"/>
          <w:jc w:val="center"/>
        </w:trPr>
        <w:tc>
          <w:tcPr>
            <w:tcW w:w="4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4619"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40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2D2FAA" w:rsidTr="009470C0">
        <w:trPr>
          <w:trHeight w:val="54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4619" w:type="dxa"/>
            <w:gridSpan w:val="6"/>
            <w:tcBorders>
              <w:top w:val="single" w:sz="4" w:space="0" w:color="000000"/>
              <w:left w:val="single" w:sz="4" w:space="0" w:color="000000"/>
              <w:bottom w:val="single" w:sz="4" w:space="0" w:color="000000"/>
              <w:right w:val="single" w:sz="4" w:space="0" w:color="000000"/>
            </w:tcBorders>
            <w:shd w:val="clear" w:color="auto" w:fill="auto"/>
          </w:tcPr>
          <w:p w:rsidR="002D2FA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依据昌</w:t>
            </w:r>
            <w:proofErr w:type="gramStart"/>
            <w:r>
              <w:rPr>
                <w:rFonts w:ascii="宋体" w:hAnsi="宋体" w:cs="宋体" w:hint="eastAsia"/>
                <w:color w:val="000000"/>
                <w:kern w:val="0"/>
                <w:sz w:val="20"/>
                <w:szCs w:val="20"/>
                <w:lang w:bidi="ar"/>
              </w:rPr>
              <w:t>州财教</w:t>
            </w:r>
            <w:proofErr w:type="gramEnd"/>
            <w:r>
              <w:rPr>
                <w:rFonts w:ascii="宋体" w:hAnsi="宋体" w:cs="宋体" w:hint="eastAsia"/>
                <w:color w:val="000000"/>
                <w:kern w:val="0"/>
                <w:sz w:val="20"/>
                <w:szCs w:val="20"/>
                <w:lang w:bidi="ar"/>
              </w:rPr>
              <w:t>(2022)61号文件木垒哈萨克自治县博物馆使用免费开放补助资金。主要举办展览活动，展示木垒历史，让人民群众了解木垒历史，感受木垒厚重的历史文化；举办宣传培训，丰富群众文化生活，牢固树立“四个认同”，落实总目标；保障博物馆的正常运行，各项工作得到正常开展。</w:t>
            </w:r>
          </w:p>
        </w:tc>
        <w:tc>
          <w:tcPr>
            <w:tcW w:w="3408" w:type="dxa"/>
            <w:gridSpan w:val="7"/>
            <w:tcBorders>
              <w:top w:val="single" w:sz="4" w:space="0" w:color="000000"/>
              <w:left w:val="single" w:sz="4" w:space="0" w:color="000000"/>
              <w:bottom w:val="single" w:sz="4" w:space="0" w:color="000000"/>
              <w:right w:val="single" w:sz="4" w:space="0" w:color="000000"/>
            </w:tcBorders>
            <w:shd w:val="clear" w:color="auto" w:fill="auto"/>
          </w:tcPr>
          <w:p w:rsidR="002D2FA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木垒县博物馆依据(2022)61号文件开展流动博物馆及免费开放工作，截止至2023年12月，我单位已在木垒县开展流动博物馆展览10场次，免费开放博物馆300天，展厅免费参观人数达50000余人。让人民群众了解木垒历史，感受木垒的历史文化。</w:t>
            </w:r>
          </w:p>
        </w:tc>
      </w:tr>
      <w:tr w:rsidR="002D2FAA" w:rsidTr="009470C0">
        <w:trPr>
          <w:trHeight w:val="312"/>
          <w:jc w:val="center"/>
        </w:trPr>
        <w:tc>
          <w:tcPr>
            <w:tcW w:w="4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4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8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2412"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8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78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65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81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115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2D2FAA" w:rsidTr="009470C0">
        <w:trPr>
          <w:trHeight w:val="312"/>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4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8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2412"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8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7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6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81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1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r>
      <w:tr w:rsidR="002D2FAA" w:rsidTr="009470C0">
        <w:trPr>
          <w:trHeight w:val="400"/>
          <w:jc w:val="center"/>
        </w:trPr>
        <w:tc>
          <w:tcPr>
            <w:tcW w:w="4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w:t>
            </w:r>
            <w:r>
              <w:rPr>
                <w:rFonts w:ascii="宋体" w:hAnsi="宋体" w:cs="宋体" w:hint="eastAsia"/>
                <w:color w:val="000000"/>
                <w:kern w:val="0"/>
                <w:sz w:val="20"/>
                <w:szCs w:val="20"/>
                <w:lang w:bidi="ar"/>
              </w:rPr>
              <w:lastRenderedPageBreak/>
              <w:t>情况</w:t>
            </w:r>
          </w:p>
        </w:tc>
        <w:tc>
          <w:tcPr>
            <w:tcW w:w="4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产出指标</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开展流动博物馆展览次数</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&gt;=10次</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=10次</w:t>
            </w: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r>
      <w:tr w:rsidR="002D2FAA" w:rsidTr="009470C0">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4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举办宣传活动次数</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&gt;=2次</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=2次</w:t>
            </w: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r>
      <w:tr w:rsidR="002D2FAA" w:rsidTr="009470C0">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4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举办历史文化活动次数</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&gt;=1次</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=1次</w:t>
            </w: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r>
      <w:tr w:rsidR="002D2FAA" w:rsidTr="009470C0">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4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开展流动博物馆展览覆盖率</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r>
      <w:tr w:rsidR="002D2FAA" w:rsidTr="009470C0">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4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开展流动博物馆展览成功率</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r>
      <w:tr w:rsidR="002D2FAA" w:rsidTr="009470C0">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4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各项运转费用支付及时率</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r>
      <w:tr w:rsidR="002D2FAA" w:rsidTr="009470C0">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4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参观接待开馆时间</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&gt;=300天</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=300天</w:t>
            </w: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r>
      <w:tr w:rsidR="002D2FAA" w:rsidTr="009470C0">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4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项目预算控制率</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&lt;=100%</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r>
      <w:tr w:rsidR="002D2FAA" w:rsidTr="009470C0">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4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社会成本指标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对社会公众正常生活影响率</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r>
      <w:tr w:rsidR="002D2FAA" w:rsidTr="009470C0">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4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生态环境成本指标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D2FAA" w:rsidRDefault="002D2FAA">
            <w:pPr>
              <w:jc w:val="left"/>
              <w:rPr>
                <w:rFonts w:ascii="宋体" w:hAnsi="宋体" w:cs="宋体" w:hint="eastAsia"/>
                <w:color w:val="000000"/>
                <w:sz w:val="20"/>
                <w:szCs w:val="20"/>
              </w:rPr>
            </w:pP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r>
      <w:tr w:rsidR="002D2FAA" w:rsidTr="009470C0">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4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D2FAA" w:rsidRDefault="002D2FAA">
            <w:pPr>
              <w:jc w:val="left"/>
              <w:rPr>
                <w:rFonts w:ascii="宋体" w:hAnsi="宋体" w:cs="宋体" w:hint="eastAsia"/>
                <w:color w:val="000000"/>
                <w:sz w:val="20"/>
                <w:szCs w:val="20"/>
              </w:rPr>
            </w:pP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r>
      <w:tr w:rsidR="002D2FAA" w:rsidTr="009470C0">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4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县域内文物保护率</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r>
      <w:tr w:rsidR="002D2FAA" w:rsidTr="009470C0">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4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博物馆正常运转率</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r>
      <w:tr w:rsidR="002D2FAA" w:rsidTr="009470C0">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4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生态效益指标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D2FAA" w:rsidRDefault="002D2FAA">
            <w:pPr>
              <w:jc w:val="left"/>
              <w:rPr>
                <w:rFonts w:ascii="宋体" w:hAnsi="宋体" w:cs="宋体" w:hint="eastAsia"/>
                <w:color w:val="000000"/>
                <w:sz w:val="20"/>
                <w:szCs w:val="20"/>
              </w:rPr>
            </w:pP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r>
      <w:tr w:rsidR="002D2FAA" w:rsidTr="009470C0">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D2FAA" w:rsidRDefault="002D2FAA">
            <w:pPr>
              <w:jc w:val="left"/>
              <w:rPr>
                <w:rFonts w:ascii="宋体" w:hAnsi="宋体" w:cs="宋体" w:hint="eastAsia"/>
                <w:color w:val="000000"/>
                <w:sz w:val="20"/>
                <w:szCs w:val="20"/>
              </w:rPr>
            </w:pP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r>
      <w:tr w:rsidR="002D2FAA" w:rsidTr="009470C0">
        <w:trPr>
          <w:trHeight w:val="288"/>
          <w:jc w:val="center"/>
        </w:trPr>
        <w:tc>
          <w:tcPr>
            <w:tcW w:w="590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100分</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r>
    </w:tbl>
    <w:p w:rsidR="002D2FAA" w:rsidRDefault="002D2FA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3"/>
        <w:gridCol w:w="492"/>
        <w:gridCol w:w="1250"/>
        <w:gridCol w:w="242"/>
        <w:gridCol w:w="1272"/>
        <w:gridCol w:w="491"/>
        <w:gridCol w:w="889"/>
        <w:gridCol w:w="783"/>
        <w:gridCol w:w="245"/>
        <w:gridCol w:w="404"/>
        <w:gridCol w:w="256"/>
        <w:gridCol w:w="554"/>
        <w:gridCol w:w="400"/>
        <w:gridCol w:w="751"/>
      </w:tblGrid>
      <w:tr w:rsidR="002D2FAA" w:rsidTr="009470C0">
        <w:trPr>
          <w:trHeight w:val="288"/>
          <w:jc w:val="center"/>
        </w:trPr>
        <w:tc>
          <w:tcPr>
            <w:tcW w:w="8522"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项目支出绩效自评表</w:t>
            </w:r>
          </w:p>
        </w:tc>
      </w:tr>
      <w:tr w:rsidR="002D2FAA" w:rsidTr="009470C0">
        <w:trPr>
          <w:trHeight w:val="288"/>
          <w:jc w:val="center"/>
        </w:trPr>
        <w:tc>
          <w:tcPr>
            <w:tcW w:w="8522"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2D2FAA" w:rsidTr="009470C0">
        <w:trPr>
          <w:trHeight w:val="288"/>
          <w:jc w:val="center"/>
        </w:trPr>
        <w:tc>
          <w:tcPr>
            <w:tcW w:w="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7537"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木垒县博物馆爱国主义教育基地补助经费</w:t>
            </w:r>
          </w:p>
        </w:tc>
      </w:tr>
      <w:tr w:rsidR="002D2FAA" w:rsidTr="009470C0">
        <w:trPr>
          <w:trHeight w:val="288"/>
          <w:jc w:val="center"/>
        </w:trPr>
        <w:tc>
          <w:tcPr>
            <w:tcW w:w="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414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w:t>
            </w:r>
          </w:p>
        </w:tc>
        <w:tc>
          <w:tcPr>
            <w:tcW w:w="10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236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w:t>
            </w:r>
          </w:p>
        </w:tc>
      </w:tr>
      <w:tr w:rsidR="002D2FAA" w:rsidTr="009470C0">
        <w:trPr>
          <w:trHeight w:val="480"/>
          <w:jc w:val="center"/>
        </w:trPr>
        <w:tc>
          <w:tcPr>
            <w:tcW w:w="98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14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3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0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6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9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2D2FAA" w:rsidTr="009470C0">
        <w:trPr>
          <w:trHeight w:val="440"/>
          <w:jc w:val="center"/>
        </w:trPr>
        <w:tc>
          <w:tcPr>
            <w:tcW w:w="98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4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13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10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6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2D2FAA" w:rsidTr="009470C0">
        <w:trPr>
          <w:trHeight w:val="440"/>
          <w:jc w:val="center"/>
        </w:trPr>
        <w:tc>
          <w:tcPr>
            <w:tcW w:w="98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4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13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10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6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2D2FAA" w:rsidTr="009470C0">
        <w:trPr>
          <w:trHeight w:val="440"/>
          <w:jc w:val="center"/>
        </w:trPr>
        <w:tc>
          <w:tcPr>
            <w:tcW w:w="98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4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其他资金</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3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2D2FAA" w:rsidTr="009470C0">
        <w:trPr>
          <w:trHeight w:val="440"/>
          <w:jc w:val="center"/>
        </w:trPr>
        <w:tc>
          <w:tcPr>
            <w:tcW w:w="98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4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3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0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6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2D2FAA" w:rsidTr="009470C0">
        <w:trPr>
          <w:trHeight w:val="288"/>
          <w:jc w:val="center"/>
        </w:trPr>
        <w:tc>
          <w:tcPr>
            <w:tcW w:w="4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年度总体目标</w:t>
            </w:r>
          </w:p>
        </w:tc>
        <w:tc>
          <w:tcPr>
            <w:tcW w:w="4636"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39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2D2FAA" w:rsidTr="009470C0">
        <w:trPr>
          <w:trHeight w:val="540"/>
          <w:jc w:val="center"/>
        </w:trPr>
        <w:tc>
          <w:tcPr>
            <w:tcW w:w="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4636" w:type="dxa"/>
            <w:gridSpan w:val="6"/>
            <w:tcBorders>
              <w:top w:val="single" w:sz="4" w:space="0" w:color="000000"/>
              <w:left w:val="single" w:sz="4" w:space="0" w:color="000000"/>
              <w:bottom w:val="single" w:sz="4" w:space="0" w:color="000000"/>
              <w:right w:val="single" w:sz="4" w:space="0" w:color="000000"/>
            </w:tcBorders>
            <w:shd w:val="clear" w:color="auto" w:fill="auto"/>
          </w:tcPr>
          <w:p w:rsidR="002D2FA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依据昌</w:t>
            </w:r>
            <w:proofErr w:type="gramStart"/>
            <w:r>
              <w:rPr>
                <w:rFonts w:ascii="宋体" w:hAnsi="宋体" w:cs="宋体" w:hint="eastAsia"/>
                <w:color w:val="000000"/>
                <w:kern w:val="0"/>
                <w:sz w:val="20"/>
                <w:szCs w:val="20"/>
                <w:lang w:bidi="ar"/>
              </w:rPr>
              <w:t>州财教</w:t>
            </w:r>
            <w:proofErr w:type="gramEnd"/>
            <w:r>
              <w:rPr>
                <w:rFonts w:ascii="宋体" w:hAnsi="宋体" w:cs="宋体" w:hint="eastAsia"/>
                <w:color w:val="000000"/>
                <w:kern w:val="0"/>
                <w:sz w:val="20"/>
                <w:szCs w:val="20"/>
                <w:lang w:bidi="ar"/>
              </w:rPr>
              <w:t>【2022】74号文件要求，计划使用中央支持地方公共文化体系建设补助资金2万元，丰富爱国主义教育基地展厅内的文化阵地内容，为连接博物馆与社会服务搭建宣传平台。提升全民爱国意识，增强中华民族共同体意识。</w:t>
            </w:r>
          </w:p>
        </w:tc>
        <w:tc>
          <w:tcPr>
            <w:tcW w:w="3393" w:type="dxa"/>
            <w:gridSpan w:val="7"/>
            <w:tcBorders>
              <w:top w:val="single" w:sz="4" w:space="0" w:color="000000"/>
              <w:left w:val="single" w:sz="4" w:space="0" w:color="000000"/>
              <w:bottom w:val="single" w:sz="4" w:space="0" w:color="000000"/>
              <w:right w:val="single" w:sz="4" w:space="0" w:color="000000"/>
            </w:tcBorders>
            <w:shd w:val="clear" w:color="auto" w:fill="auto"/>
          </w:tcPr>
          <w:p w:rsidR="002D2FA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至本项目完成时限，我单位针对本项目已完成如下工作：完成爱国主义教育基地改造项目1个，全年免费开访达到300天，全年可接待参观人数达2万余人，丰富了爱国主义教育基地展厅内的文化阵地内容，提升了全民爱国意识，增强了中华民族共同体意识。</w:t>
            </w:r>
          </w:p>
        </w:tc>
      </w:tr>
      <w:tr w:rsidR="002D2FAA" w:rsidTr="009470C0">
        <w:trPr>
          <w:trHeight w:val="312"/>
          <w:jc w:val="center"/>
        </w:trPr>
        <w:tc>
          <w:tcPr>
            <w:tcW w:w="4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4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2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2005"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8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7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64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81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115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2D2FAA" w:rsidTr="009470C0">
        <w:trPr>
          <w:trHeight w:val="312"/>
          <w:jc w:val="center"/>
        </w:trPr>
        <w:tc>
          <w:tcPr>
            <w:tcW w:w="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4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2005"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8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7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64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81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15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r>
      <w:tr w:rsidR="002D2FAA" w:rsidTr="009470C0">
        <w:trPr>
          <w:trHeight w:val="400"/>
          <w:jc w:val="center"/>
        </w:trPr>
        <w:tc>
          <w:tcPr>
            <w:tcW w:w="4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4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00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文化阵地建设改造维修数量</w:t>
            </w: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=1个</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=1个</w:t>
            </w: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r>
      <w:tr w:rsidR="002D2FAA" w:rsidTr="009470C0">
        <w:trPr>
          <w:trHeight w:val="400"/>
          <w:jc w:val="center"/>
        </w:trPr>
        <w:tc>
          <w:tcPr>
            <w:tcW w:w="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4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200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文化阵地建设改造合格率</w:t>
            </w: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r>
      <w:tr w:rsidR="002D2FAA" w:rsidTr="009470C0">
        <w:trPr>
          <w:trHeight w:val="400"/>
          <w:jc w:val="center"/>
        </w:trPr>
        <w:tc>
          <w:tcPr>
            <w:tcW w:w="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4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200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全年免费开放日</w:t>
            </w: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&gt;=300天</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=300天</w:t>
            </w: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r>
      <w:tr w:rsidR="002D2FAA" w:rsidTr="009470C0">
        <w:trPr>
          <w:trHeight w:val="400"/>
          <w:jc w:val="center"/>
        </w:trPr>
        <w:tc>
          <w:tcPr>
            <w:tcW w:w="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4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200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项目按计划完成时间</w:t>
            </w: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&lt;=12个月</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=12个月</w:t>
            </w: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r>
      <w:tr w:rsidR="002D2FAA" w:rsidTr="009470C0">
        <w:trPr>
          <w:trHeight w:val="400"/>
          <w:jc w:val="center"/>
        </w:trPr>
        <w:tc>
          <w:tcPr>
            <w:tcW w:w="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4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200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项目预算控制率</w:t>
            </w: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&lt;=100%</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1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r>
      <w:tr w:rsidR="002D2FAA" w:rsidTr="009470C0">
        <w:trPr>
          <w:trHeight w:val="400"/>
          <w:jc w:val="center"/>
        </w:trPr>
        <w:tc>
          <w:tcPr>
            <w:tcW w:w="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4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社会成本指标</w:t>
            </w:r>
          </w:p>
        </w:tc>
        <w:tc>
          <w:tcPr>
            <w:tcW w:w="200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D2FAA" w:rsidRDefault="002D2FAA">
            <w:pPr>
              <w:jc w:val="left"/>
              <w:rPr>
                <w:rFonts w:ascii="宋体" w:hAnsi="宋体" w:cs="宋体" w:hint="eastAsia"/>
                <w:color w:val="000000"/>
                <w:sz w:val="20"/>
                <w:szCs w:val="20"/>
              </w:rPr>
            </w:pP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r>
      <w:tr w:rsidR="002D2FAA" w:rsidTr="009470C0">
        <w:trPr>
          <w:trHeight w:val="400"/>
          <w:jc w:val="center"/>
        </w:trPr>
        <w:tc>
          <w:tcPr>
            <w:tcW w:w="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4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生态环境成本指标</w:t>
            </w:r>
          </w:p>
        </w:tc>
        <w:tc>
          <w:tcPr>
            <w:tcW w:w="200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D2FAA" w:rsidRDefault="002D2FAA">
            <w:pPr>
              <w:jc w:val="left"/>
              <w:rPr>
                <w:rFonts w:ascii="宋体" w:hAnsi="宋体" w:cs="宋体" w:hint="eastAsia"/>
                <w:color w:val="000000"/>
                <w:sz w:val="20"/>
                <w:szCs w:val="20"/>
              </w:rPr>
            </w:pP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r>
      <w:tr w:rsidR="002D2FAA" w:rsidTr="009470C0">
        <w:trPr>
          <w:trHeight w:val="400"/>
          <w:jc w:val="center"/>
        </w:trPr>
        <w:tc>
          <w:tcPr>
            <w:tcW w:w="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4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200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D2FAA" w:rsidRDefault="002D2FAA">
            <w:pPr>
              <w:jc w:val="left"/>
              <w:rPr>
                <w:rFonts w:ascii="宋体" w:hAnsi="宋体" w:cs="宋体" w:hint="eastAsia"/>
                <w:color w:val="000000"/>
                <w:sz w:val="20"/>
                <w:szCs w:val="20"/>
              </w:rPr>
            </w:pP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r>
      <w:tr w:rsidR="002D2FAA" w:rsidTr="009470C0">
        <w:trPr>
          <w:trHeight w:val="400"/>
          <w:jc w:val="center"/>
        </w:trPr>
        <w:tc>
          <w:tcPr>
            <w:tcW w:w="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4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200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全年可接待参观人数</w:t>
            </w: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&gt;=300人</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=300人</w:t>
            </w: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1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r>
      <w:tr w:rsidR="002D2FAA" w:rsidTr="009470C0">
        <w:trPr>
          <w:trHeight w:val="400"/>
          <w:jc w:val="center"/>
        </w:trPr>
        <w:tc>
          <w:tcPr>
            <w:tcW w:w="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4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生态效益指标</w:t>
            </w:r>
          </w:p>
        </w:tc>
        <w:tc>
          <w:tcPr>
            <w:tcW w:w="200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D2FAA" w:rsidRDefault="002D2FAA">
            <w:pPr>
              <w:jc w:val="left"/>
              <w:rPr>
                <w:rFonts w:ascii="宋体" w:hAnsi="宋体" w:cs="宋体" w:hint="eastAsia"/>
                <w:color w:val="000000"/>
                <w:sz w:val="20"/>
                <w:szCs w:val="20"/>
              </w:rPr>
            </w:pP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1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r>
      <w:tr w:rsidR="002D2FAA" w:rsidTr="009470C0">
        <w:trPr>
          <w:trHeight w:val="400"/>
          <w:jc w:val="center"/>
        </w:trPr>
        <w:tc>
          <w:tcPr>
            <w:tcW w:w="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c>
          <w:tcPr>
            <w:tcW w:w="4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200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参观人员满意度</w:t>
            </w: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=88%</w:t>
            </w: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9.25</w:t>
            </w:r>
          </w:p>
        </w:tc>
        <w:tc>
          <w:tcPr>
            <w:tcW w:w="1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因展厅装修提升改造项目，有部分展厅临时未开放。</w:t>
            </w:r>
          </w:p>
        </w:tc>
      </w:tr>
      <w:tr w:rsidR="002D2FAA" w:rsidTr="009470C0">
        <w:trPr>
          <w:trHeight w:val="288"/>
          <w:jc w:val="center"/>
        </w:trPr>
        <w:tc>
          <w:tcPr>
            <w:tcW w:w="591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99.25分</w:t>
            </w:r>
          </w:p>
        </w:tc>
        <w:tc>
          <w:tcPr>
            <w:tcW w:w="1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D2FAA" w:rsidRDefault="002D2FAA">
            <w:pPr>
              <w:jc w:val="center"/>
              <w:rPr>
                <w:rFonts w:ascii="宋体" w:hAnsi="宋体" w:cs="宋体" w:hint="eastAsia"/>
                <w:color w:val="000000"/>
                <w:sz w:val="20"/>
                <w:szCs w:val="20"/>
              </w:rPr>
            </w:pPr>
          </w:p>
        </w:tc>
      </w:tr>
    </w:tbl>
    <w:p w:rsidR="002D2FAA" w:rsidRDefault="002D2FAA">
      <w:pPr>
        <w:ind w:firstLineChars="200" w:firstLine="640"/>
        <w:jc w:val="left"/>
        <w:rPr>
          <w:rFonts w:ascii="黑体" w:eastAsia="黑体" w:hAnsi="黑体" w:cs="宋体" w:hint="eastAsia"/>
          <w:bCs/>
          <w:kern w:val="0"/>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506"/>
        <w:gridCol w:w="621"/>
        <w:gridCol w:w="1047"/>
        <w:gridCol w:w="974"/>
        <w:gridCol w:w="595"/>
        <w:gridCol w:w="902"/>
        <w:gridCol w:w="794"/>
        <w:gridCol w:w="260"/>
        <w:gridCol w:w="413"/>
        <w:gridCol w:w="271"/>
        <w:gridCol w:w="554"/>
        <w:gridCol w:w="406"/>
        <w:gridCol w:w="673"/>
      </w:tblGrid>
      <w:tr w:rsidR="002D2FAA">
        <w:trPr>
          <w:trHeight w:val="408"/>
          <w:jc w:val="center"/>
        </w:trPr>
        <w:tc>
          <w:tcPr>
            <w:tcW w:w="12355" w:type="dxa"/>
            <w:gridSpan w:val="14"/>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项目支出绩效自评表</w:t>
            </w:r>
          </w:p>
        </w:tc>
      </w:tr>
      <w:tr w:rsidR="002D2FAA">
        <w:trPr>
          <w:trHeight w:val="288"/>
          <w:jc w:val="center"/>
        </w:trPr>
        <w:tc>
          <w:tcPr>
            <w:tcW w:w="12355" w:type="dxa"/>
            <w:gridSpan w:val="14"/>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2D2FAA">
        <w:trPr>
          <w:trHeight w:val="288"/>
          <w:jc w:val="center"/>
        </w:trPr>
        <w:tc>
          <w:tcPr>
            <w:tcW w:w="1944"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10411" w:type="dxa"/>
            <w:gridSpan w:val="1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木垒县博物馆馆藏文物预防性保护项目</w:t>
            </w:r>
          </w:p>
        </w:tc>
      </w:tr>
      <w:tr w:rsidR="002D2FAA">
        <w:trPr>
          <w:trHeight w:val="288"/>
          <w:jc w:val="center"/>
        </w:trPr>
        <w:tc>
          <w:tcPr>
            <w:tcW w:w="1944"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4766" w:type="dxa"/>
            <w:gridSpan w:val="5"/>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w:t>
            </w:r>
          </w:p>
        </w:tc>
        <w:tc>
          <w:tcPr>
            <w:tcW w:w="1985"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3660" w:type="dxa"/>
            <w:gridSpan w:val="5"/>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w:t>
            </w:r>
          </w:p>
        </w:tc>
      </w:tr>
      <w:tr w:rsidR="002D2FAA">
        <w:trPr>
          <w:trHeight w:val="480"/>
          <w:jc w:val="center"/>
        </w:trPr>
        <w:tc>
          <w:tcPr>
            <w:tcW w:w="1944" w:type="dxa"/>
            <w:gridSpan w:val="2"/>
            <w:vMerge w:val="restart"/>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1944" w:type="dxa"/>
            <w:gridSpan w:val="2"/>
            <w:shd w:val="clear" w:color="auto" w:fill="auto"/>
            <w:vAlign w:val="center"/>
          </w:tcPr>
          <w:p w:rsidR="002D2FAA" w:rsidRDefault="002D2FAA">
            <w:pPr>
              <w:jc w:val="center"/>
              <w:rPr>
                <w:rFonts w:ascii="宋体" w:hAnsi="宋体" w:cs="宋体" w:hint="eastAsia"/>
                <w:color w:val="000000"/>
                <w:sz w:val="20"/>
                <w:szCs w:val="20"/>
              </w:rPr>
            </w:pPr>
          </w:p>
        </w:tc>
        <w:tc>
          <w:tcPr>
            <w:tcW w:w="905"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917"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985"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1499"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1189"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972"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2D2FAA">
        <w:trPr>
          <w:trHeight w:val="440"/>
          <w:jc w:val="center"/>
        </w:trPr>
        <w:tc>
          <w:tcPr>
            <w:tcW w:w="1944" w:type="dxa"/>
            <w:gridSpan w:val="2"/>
            <w:vMerge/>
            <w:shd w:val="clear" w:color="auto" w:fill="auto"/>
            <w:vAlign w:val="center"/>
          </w:tcPr>
          <w:p w:rsidR="002D2FAA" w:rsidRDefault="002D2FAA">
            <w:pPr>
              <w:jc w:val="center"/>
              <w:rPr>
                <w:rFonts w:ascii="宋体" w:hAnsi="宋体" w:cs="宋体" w:hint="eastAsia"/>
                <w:color w:val="000000"/>
                <w:sz w:val="20"/>
                <w:szCs w:val="20"/>
              </w:rPr>
            </w:pPr>
          </w:p>
        </w:tc>
        <w:tc>
          <w:tcPr>
            <w:tcW w:w="1944"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905"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85.72</w:t>
            </w:r>
          </w:p>
        </w:tc>
        <w:tc>
          <w:tcPr>
            <w:tcW w:w="1917"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85.72</w:t>
            </w:r>
          </w:p>
        </w:tc>
        <w:tc>
          <w:tcPr>
            <w:tcW w:w="1985"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85.72</w:t>
            </w:r>
          </w:p>
        </w:tc>
        <w:tc>
          <w:tcPr>
            <w:tcW w:w="1499"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89"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972"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r>
      <w:tr w:rsidR="002D2FAA">
        <w:trPr>
          <w:trHeight w:val="440"/>
          <w:jc w:val="center"/>
        </w:trPr>
        <w:tc>
          <w:tcPr>
            <w:tcW w:w="1944" w:type="dxa"/>
            <w:gridSpan w:val="2"/>
            <w:vMerge/>
            <w:shd w:val="clear" w:color="auto" w:fill="auto"/>
            <w:vAlign w:val="center"/>
          </w:tcPr>
          <w:p w:rsidR="002D2FAA" w:rsidRDefault="002D2FAA">
            <w:pPr>
              <w:jc w:val="center"/>
              <w:rPr>
                <w:rFonts w:ascii="宋体" w:hAnsi="宋体" w:cs="宋体" w:hint="eastAsia"/>
                <w:color w:val="000000"/>
                <w:sz w:val="20"/>
                <w:szCs w:val="20"/>
              </w:rPr>
            </w:pPr>
          </w:p>
        </w:tc>
        <w:tc>
          <w:tcPr>
            <w:tcW w:w="1944"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905"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85.72</w:t>
            </w:r>
          </w:p>
        </w:tc>
        <w:tc>
          <w:tcPr>
            <w:tcW w:w="1917"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85.72</w:t>
            </w:r>
          </w:p>
        </w:tc>
        <w:tc>
          <w:tcPr>
            <w:tcW w:w="1985"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85.72</w:t>
            </w:r>
          </w:p>
        </w:tc>
        <w:tc>
          <w:tcPr>
            <w:tcW w:w="1499"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189"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72"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2D2FAA">
        <w:trPr>
          <w:trHeight w:val="440"/>
          <w:jc w:val="center"/>
        </w:trPr>
        <w:tc>
          <w:tcPr>
            <w:tcW w:w="1944" w:type="dxa"/>
            <w:gridSpan w:val="2"/>
            <w:vMerge/>
            <w:shd w:val="clear" w:color="auto" w:fill="auto"/>
            <w:vAlign w:val="center"/>
          </w:tcPr>
          <w:p w:rsidR="002D2FAA" w:rsidRDefault="002D2FAA">
            <w:pPr>
              <w:jc w:val="center"/>
              <w:rPr>
                <w:rFonts w:ascii="宋体" w:hAnsi="宋体" w:cs="宋体" w:hint="eastAsia"/>
                <w:color w:val="000000"/>
                <w:sz w:val="20"/>
                <w:szCs w:val="20"/>
              </w:rPr>
            </w:pPr>
          </w:p>
        </w:tc>
        <w:tc>
          <w:tcPr>
            <w:tcW w:w="1944"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其他资金</w:t>
            </w:r>
          </w:p>
        </w:tc>
        <w:tc>
          <w:tcPr>
            <w:tcW w:w="905"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917"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985" w:type="dxa"/>
            <w:gridSpan w:val="2"/>
            <w:shd w:val="clear" w:color="auto" w:fill="auto"/>
            <w:vAlign w:val="center"/>
          </w:tcPr>
          <w:p w:rsidR="002D2FAA" w:rsidRDefault="00000000">
            <w:pPr>
              <w:jc w:val="center"/>
              <w:rPr>
                <w:rFonts w:ascii="宋体" w:hAnsi="宋体" w:cs="宋体" w:hint="eastAsia"/>
                <w:color w:val="000000"/>
                <w:sz w:val="20"/>
                <w:szCs w:val="20"/>
              </w:rPr>
            </w:pPr>
            <w:r>
              <w:rPr>
                <w:rFonts w:ascii="宋体" w:hAnsi="宋体" w:cs="宋体" w:hint="eastAsia"/>
                <w:color w:val="000000"/>
                <w:sz w:val="20"/>
                <w:szCs w:val="20"/>
              </w:rPr>
              <w:t>0.00</w:t>
            </w:r>
          </w:p>
        </w:tc>
        <w:tc>
          <w:tcPr>
            <w:tcW w:w="1499"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189"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72"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2D2FAA">
        <w:trPr>
          <w:trHeight w:val="440"/>
          <w:jc w:val="center"/>
        </w:trPr>
        <w:tc>
          <w:tcPr>
            <w:tcW w:w="1944" w:type="dxa"/>
            <w:gridSpan w:val="2"/>
            <w:vMerge/>
            <w:shd w:val="clear" w:color="auto" w:fill="auto"/>
            <w:vAlign w:val="center"/>
          </w:tcPr>
          <w:p w:rsidR="002D2FAA" w:rsidRDefault="002D2FAA">
            <w:pPr>
              <w:jc w:val="center"/>
              <w:rPr>
                <w:rFonts w:ascii="宋体" w:hAnsi="宋体" w:cs="宋体" w:hint="eastAsia"/>
                <w:color w:val="000000"/>
                <w:sz w:val="20"/>
                <w:szCs w:val="20"/>
              </w:rPr>
            </w:pPr>
          </w:p>
        </w:tc>
        <w:tc>
          <w:tcPr>
            <w:tcW w:w="1944" w:type="dxa"/>
            <w:gridSpan w:val="2"/>
            <w:shd w:val="clear" w:color="auto" w:fill="auto"/>
            <w:vAlign w:val="center"/>
          </w:tcPr>
          <w:p w:rsidR="002D2FAA" w:rsidRDefault="002D2FAA">
            <w:pPr>
              <w:jc w:val="center"/>
              <w:rPr>
                <w:rFonts w:ascii="宋体" w:hAnsi="宋体" w:cs="宋体" w:hint="eastAsia"/>
                <w:color w:val="000000"/>
                <w:sz w:val="20"/>
                <w:szCs w:val="20"/>
              </w:rPr>
            </w:pPr>
          </w:p>
        </w:tc>
        <w:tc>
          <w:tcPr>
            <w:tcW w:w="905" w:type="dxa"/>
            <w:shd w:val="clear" w:color="auto" w:fill="auto"/>
            <w:vAlign w:val="center"/>
          </w:tcPr>
          <w:p w:rsidR="002D2FAA" w:rsidRDefault="002D2FAA">
            <w:pPr>
              <w:jc w:val="center"/>
              <w:rPr>
                <w:rFonts w:ascii="宋体" w:hAnsi="宋体" w:cs="宋体" w:hint="eastAsia"/>
                <w:color w:val="000000"/>
                <w:sz w:val="20"/>
                <w:szCs w:val="20"/>
              </w:rPr>
            </w:pPr>
          </w:p>
        </w:tc>
        <w:tc>
          <w:tcPr>
            <w:tcW w:w="1917" w:type="dxa"/>
            <w:gridSpan w:val="2"/>
            <w:shd w:val="clear" w:color="auto" w:fill="auto"/>
            <w:vAlign w:val="center"/>
          </w:tcPr>
          <w:p w:rsidR="002D2FAA" w:rsidRDefault="002D2FAA">
            <w:pPr>
              <w:jc w:val="center"/>
              <w:rPr>
                <w:rFonts w:ascii="宋体" w:hAnsi="宋体" w:cs="宋体" w:hint="eastAsia"/>
                <w:color w:val="000000"/>
                <w:sz w:val="20"/>
                <w:szCs w:val="20"/>
              </w:rPr>
            </w:pPr>
          </w:p>
        </w:tc>
        <w:tc>
          <w:tcPr>
            <w:tcW w:w="1985" w:type="dxa"/>
            <w:gridSpan w:val="2"/>
            <w:shd w:val="clear" w:color="auto" w:fill="auto"/>
            <w:vAlign w:val="center"/>
          </w:tcPr>
          <w:p w:rsidR="002D2FAA" w:rsidRDefault="002D2FAA">
            <w:pPr>
              <w:jc w:val="center"/>
              <w:rPr>
                <w:rFonts w:ascii="宋体" w:hAnsi="宋体" w:cs="宋体" w:hint="eastAsia"/>
                <w:color w:val="000000"/>
                <w:sz w:val="20"/>
                <w:szCs w:val="20"/>
              </w:rPr>
            </w:pPr>
          </w:p>
        </w:tc>
        <w:tc>
          <w:tcPr>
            <w:tcW w:w="1499"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189"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72"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2D2FAA">
        <w:trPr>
          <w:trHeight w:val="288"/>
          <w:jc w:val="center"/>
        </w:trPr>
        <w:tc>
          <w:tcPr>
            <w:tcW w:w="972" w:type="dxa"/>
            <w:vMerge w:val="restart"/>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5738" w:type="dxa"/>
            <w:gridSpan w:val="6"/>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5645" w:type="dxa"/>
            <w:gridSpan w:val="7"/>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2D2FAA">
        <w:trPr>
          <w:trHeight w:val="540"/>
          <w:jc w:val="center"/>
        </w:trPr>
        <w:tc>
          <w:tcPr>
            <w:tcW w:w="972" w:type="dxa"/>
            <w:vMerge/>
            <w:shd w:val="clear" w:color="auto" w:fill="auto"/>
            <w:vAlign w:val="center"/>
          </w:tcPr>
          <w:p w:rsidR="002D2FAA" w:rsidRDefault="002D2FAA">
            <w:pPr>
              <w:jc w:val="center"/>
              <w:rPr>
                <w:rFonts w:ascii="宋体" w:hAnsi="宋体" w:cs="宋体" w:hint="eastAsia"/>
                <w:color w:val="000000"/>
                <w:sz w:val="20"/>
                <w:szCs w:val="20"/>
              </w:rPr>
            </w:pPr>
          </w:p>
        </w:tc>
        <w:tc>
          <w:tcPr>
            <w:tcW w:w="5738" w:type="dxa"/>
            <w:gridSpan w:val="6"/>
            <w:shd w:val="clear" w:color="auto" w:fill="auto"/>
          </w:tcPr>
          <w:p w:rsidR="002D2FA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依据昌</w:t>
            </w:r>
            <w:proofErr w:type="gramStart"/>
            <w:r>
              <w:rPr>
                <w:rFonts w:ascii="宋体" w:hAnsi="宋体" w:cs="宋体" w:hint="eastAsia"/>
                <w:color w:val="000000"/>
                <w:kern w:val="0"/>
                <w:sz w:val="20"/>
                <w:szCs w:val="20"/>
                <w:lang w:bidi="ar"/>
              </w:rPr>
              <w:t>州财教</w:t>
            </w:r>
            <w:proofErr w:type="gramEnd"/>
            <w:r>
              <w:rPr>
                <w:rFonts w:ascii="宋体" w:hAnsi="宋体" w:cs="宋体" w:hint="eastAsia"/>
                <w:color w:val="000000"/>
                <w:kern w:val="0"/>
                <w:sz w:val="20"/>
                <w:szCs w:val="20"/>
                <w:lang w:bidi="ar"/>
              </w:rPr>
              <w:t>(2021)77号文件要求，木垒哈萨克自治县博物馆对历史展厅进行提升改造，运用多种调控措施改善重点展柜微环境，对展厅展柜进行改造提升，根据文物特点为库房配置专业文物储藏柜，建立馆藏文物预防性保护管理机制，形成藏品保护管理、协调、监测、分析、处理、预案等一系列风险预控机制。</w:t>
            </w:r>
          </w:p>
        </w:tc>
        <w:tc>
          <w:tcPr>
            <w:tcW w:w="5645" w:type="dxa"/>
            <w:gridSpan w:val="7"/>
            <w:shd w:val="clear" w:color="auto" w:fill="auto"/>
          </w:tcPr>
          <w:p w:rsidR="002D2FA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止本项目完成时限，我单位针对本项目已完成如下工作：建设环境调控及监测系统1套，建造文物储藏柜架10个，建造文物展柜6个。对展厅展柜进行了改造提升，根据文物特点为库房配置专业文物储藏柜，建立了馆藏文物预防性保护管理机制，形成了藏品保护管理、协调、监测、分析、处理、预案等一系列风险预控机制。</w:t>
            </w:r>
          </w:p>
        </w:tc>
      </w:tr>
      <w:tr w:rsidR="002D2FAA">
        <w:trPr>
          <w:trHeight w:val="312"/>
          <w:jc w:val="center"/>
        </w:trPr>
        <w:tc>
          <w:tcPr>
            <w:tcW w:w="972" w:type="dxa"/>
            <w:vMerge w:val="restart"/>
            <w:shd w:val="clear" w:color="auto" w:fill="auto"/>
            <w:vAlign w:val="center"/>
          </w:tcPr>
          <w:p w:rsidR="002D2FAA" w:rsidRDefault="002D2FAA">
            <w:pPr>
              <w:jc w:val="center"/>
              <w:rPr>
                <w:rFonts w:ascii="宋体" w:hAnsi="宋体" w:cs="宋体" w:hint="eastAsia"/>
                <w:color w:val="000000"/>
                <w:sz w:val="20"/>
                <w:szCs w:val="20"/>
              </w:rPr>
            </w:pPr>
          </w:p>
        </w:tc>
        <w:tc>
          <w:tcPr>
            <w:tcW w:w="972" w:type="dxa"/>
            <w:vMerge w:val="restart"/>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972" w:type="dxa"/>
            <w:vMerge w:val="restart"/>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2444" w:type="dxa"/>
            <w:gridSpan w:val="3"/>
            <w:vMerge w:val="restart"/>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350" w:type="dxa"/>
            <w:vMerge w:val="restart"/>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1202" w:type="dxa"/>
            <w:vMerge w:val="restart"/>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1485" w:type="dxa"/>
            <w:gridSpan w:val="2"/>
            <w:vMerge w:val="restart"/>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1351" w:type="dxa"/>
            <w:gridSpan w:val="2"/>
            <w:vMerge w:val="restart"/>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1607" w:type="dxa"/>
            <w:gridSpan w:val="2"/>
            <w:vMerge w:val="restart"/>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2D2FAA">
        <w:trPr>
          <w:trHeight w:val="312"/>
          <w:jc w:val="center"/>
        </w:trPr>
        <w:tc>
          <w:tcPr>
            <w:tcW w:w="972" w:type="dxa"/>
            <w:vMerge/>
            <w:shd w:val="clear" w:color="auto" w:fill="auto"/>
            <w:vAlign w:val="center"/>
          </w:tcPr>
          <w:p w:rsidR="002D2FAA" w:rsidRDefault="002D2FAA">
            <w:pPr>
              <w:jc w:val="center"/>
              <w:rPr>
                <w:rFonts w:ascii="宋体" w:hAnsi="宋体" w:cs="宋体" w:hint="eastAsia"/>
                <w:color w:val="000000"/>
                <w:sz w:val="20"/>
                <w:szCs w:val="20"/>
              </w:rPr>
            </w:pPr>
          </w:p>
        </w:tc>
        <w:tc>
          <w:tcPr>
            <w:tcW w:w="972" w:type="dxa"/>
            <w:vMerge/>
            <w:shd w:val="clear" w:color="auto" w:fill="auto"/>
            <w:vAlign w:val="center"/>
          </w:tcPr>
          <w:p w:rsidR="002D2FAA" w:rsidRDefault="002D2FAA">
            <w:pPr>
              <w:jc w:val="center"/>
              <w:rPr>
                <w:rFonts w:ascii="宋体" w:hAnsi="宋体" w:cs="宋体" w:hint="eastAsia"/>
                <w:color w:val="000000"/>
                <w:sz w:val="20"/>
                <w:szCs w:val="20"/>
              </w:rPr>
            </w:pPr>
          </w:p>
        </w:tc>
        <w:tc>
          <w:tcPr>
            <w:tcW w:w="972" w:type="dxa"/>
            <w:vMerge/>
            <w:shd w:val="clear" w:color="auto" w:fill="auto"/>
            <w:vAlign w:val="center"/>
          </w:tcPr>
          <w:p w:rsidR="002D2FAA" w:rsidRDefault="002D2FAA">
            <w:pPr>
              <w:jc w:val="center"/>
              <w:rPr>
                <w:rFonts w:ascii="宋体" w:hAnsi="宋体" w:cs="宋体" w:hint="eastAsia"/>
                <w:color w:val="000000"/>
                <w:sz w:val="20"/>
                <w:szCs w:val="20"/>
              </w:rPr>
            </w:pPr>
          </w:p>
        </w:tc>
        <w:tc>
          <w:tcPr>
            <w:tcW w:w="2444" w:type="dxa"/>
            <w:gridSpan w:val="3"/>
            <w:vMerge/>
            <w:shd w:val="clear" w:color="auto" w:fill="auto"/>
            <w:vAlign w:val="center"/>
          </w:tcPr>
          <w:p w:rsidR="002D2FAA" w:rsidRDefault="002D2FAA">
            <w:pPr>
              <w:jc w:val="center"/>
              <w:rPr>
                <w:rFonts w:ascii="宋体" w:hAnsi="宋体" w:cs="宋体" w:hint="eastAsia"/>
                <w:color w:val="000000"/>
                <w:sz w:val="20"/>
                <w:szCs w:val="20"/>
              </w:rPr>
            </w:pPr>
          </w:p>
        </w:tc>
        <w:tc>
          <w:tcPr>
            <w:tcW w:w="1350" w:type="dxa"/>
            <w:vMerge/>
            <w:shd w:val="clear" w:color="auto" w:fill="auto"/>
            <w:vAlign w:val="center"/>
          </w:tcPr>
          <w:p w:rsidR="002D2FAA" w:rsidRDefault="002D2FAA">
            <w:pPr>
              <w:jc w:val="center"/>
              <w:rPr>
                <w:rFonts w:ascii="宋体" w:hAnsi="宋体" w:cs="宋体" w:hint="eastAsia"/>
                <w:color w:val="000000"/>
                <w:sz w:val="20"/>
                <w:szCs w:val="20"/>
              </w:rPr>
            </w:pPr>
          </w:p>
        </w:tc>
        <w:tc>
          <w:tcPr>
            <w:tcW w:w="1202" w:type="dxa"/>
            <w:vMerge/>
            <w:shd w:val="clear" w:color="auto" w:fill="auto"/>
            <w:vAlign w:val="center"/>
          </w:tcPr>
          <w:p w:rsidR="002D2FAA" w:rsidRDefault="002D2FAA">
            <w:pPr>
              <w:jc w:val="center"/>
              <w:rPr>
                <w:rFonts w:ascii="宋体" w:hAnsi="宋体" w:cs="宋体" w:hint="eastAsia"/>
                <w:color w:val="000000"/>
                <w:sz w:val="20"/>
                <w:szCs w:val="20"/>
              </w:rPr>
            </w:pPr>
          </w:p>
        </w:tc>
        <w:tc>
          <w:tcPr>
            <w:tcW w:w="1485" w:type="dxa"/>
            <w:gridSpan w:val="2"/>
            <w:vMerge/>
            <w:shd w:val="clear" w:color="auto" w:fill="auto"/>
            <w:vAlign w:val="center"/>
          </w:tcPr>
          <w:p w:rsidR="002D2FAA" w:rsidRDefault="002D2FAA">
            <w:pPr>
              <w:jc w:val="center"/>
              <w:rPr>
                <w:rFonts w:ascii="宋体" w:hAnsi="宋体" w:cs="宋体" w:hint="eastAsia"/>
                <w:color w:val="000000"/>
                <w:sz w:val="20"/>
                <w:szCs w:val="20"/>
              </w:rPr>
            </w:pPr>
          </w:p>
        </w:tc>
        <w:tc>
          <w:tcPr>
            <w:tcW w:w="1351" w:type="dxa"/>
            <w:gridSpan w:val="2"/>
            <w:vMerge/>
            <w:shd w:val="clear" w:color="auto" w:fill="auto"/>
            <w:vAlign w:val="center"/>
          </w:tcPr>
          <w:p w:rsidR="002D2FAA" w:rsidRDefault="002D2FAA">
            <w:pPr>
              <w:jc w:val="center"/>
              <w:rPr>
                <w:rFonts w:ascii="宋体" w:hAnsi="宋体" w:cs="宋体" w:hint="eastAsia"/>
                <w:color w:val="000000"/>
                <w:sz w:val="20"/>
                <w:szCs w:val="20"/>
              </w:rPr>
            </w:pPr>
          </w:p>
        </w:tc>
        <w:tc>
          <w:tcPr>
            <w:tcW w:w="1607" w:type="dxa"/>
            <w:gridSpan w:val="2"/>
            <w:vMerge/>
            <w:shd w:val="clear" w:color="auto" w:fill="auto"/>
            <w:vAlign w:val="center"/>
          </w:tcPr>
          <w:p w:rsidR="002D2FAA" w:rsidRDefault="002D2FAA">
            <w:pPr>
              <w:jc w:val="center"/>
              <w:rPr>
                <w:rFonts w:ascii="宋体" w:hAnsi="宋体" w:cs="宋体" w:hint="eastAsia"/>
                <w:color w:val="000000"/>
                <w:sz w:val="20"/>
                <w:szCs w:val="20"/>
              </w:rPr>
            </w:pPr>
          </w:p>
        </w:tc>
      </w:tr>
      <w:tr w:rsidR="002D2FAA">
        <w:trPr>
          <w:trHeight w:val="400"/>
          <w:jc w:val="center"/>
        </w:trPr>
        <w:tc>
          <w:tcPr>
            <w:tcW w:w="972" w:type="dxa"/>
            <w:vMerge w:val="restart"/>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972" w:type="dxa"/>
            <w:vMerge w:val="restart"/>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972"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0" w:type="auto"/>
            <w:gridSpan w:val="3"/>
            <w:shd w:val="clear" w:color="auto" w:fill="auto"/>
            <w:noWrap/>
            <w:vAlign w:val="center"/>
          </w:tcPr>
          <w:p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建设环境调控及监测系统</w:t>
            </w:r>
          </w:p>
        </w:tc>
        <w:tc>
          <w:tcPr>
            <w:tcW w:w="1350"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=1套</w:t>
            </w:r>
          </w:p>
        </w:tc>
        <w:tc>
          <w:tcPr>
            <w:tcW w:w="1202"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=1套</w:t>
            </w:r>
          </w:p>
        </w:tc>
        <w:tc>
          <w:tcPr>
            <w:tcW w:w="1485"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351"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607" w:type="dxa"/>
            <w:gridSpan w:val="2"/>
            <w:shd w:val="clear" w:color="auto" w:fill="auto"/>
            <w:vAlign w:val="center"/>
          </w:tcPr>
          <w:p w:rsidR="002D2FAA" w:rsidRDefault="002D2FAA">
            <w:pPr>
              <w:jc w:val="center"/>
              <w:rPr>
                <w:rFonts w:ascii="宋体" w:hAnsi="宋体" w:cs="宋体" w:hint="eastAsia"/>
                <w:color w:val="000000"/>
                <w:sz w:val="20"/>
                <w:szCs w:val="20"/>
              </w:rPr>
            </w:pPr>
          </w:p>
        </w:tc>
      </w:tr>
      <w:tr w:rsidR="002D2FAA">
        <w:trPr>
          <w:trHeight w:val="400"/>
          <w:jc w:val="center"/>
        </w:trPr>
        <w:tc>
          <w:tcPr>
            <w:tcW w:w="972" w:type="dxa"/>
            <w:vMerge/>
            <w:shd w:val="clear" w:color="auto" w:fill="auto"/>
            <w:vAlign w:val="center"/>
          </w:tcPr>
          <w:p w:rsidR="002D2FAA" w:rsidRDefault="002D2FAA">
            <w:pPr>
              <w:jc w:val="center"/>
              <w:rPr>
                <w:rFonts w:ascii="宋体" w:hAnsi="宋体" w:cs="宋体" w:hint="eastAsia"/>
                <w:color w:val="000000"/>
                <w:sz w:val="20"/>
                <w:szCs w:val="20"/>
              </w:rPr>
            </w:pPr>
          </w:p>
        </w:tc>
        <w:tc>
          <w:tcPr>
            <w:tcW w:w="972" w:type="dxa"/>
            <w:vMerge/>
            <w:shd w:val="clear" w:color="auto" w:fill="auto"/>
            <w:vAlign w:val="center"/>
          </w:tcPr>
          <w:p w:rsidR="002D2FAA" w:rsidRDefault="002D2FAA">
            <w:pPr>
              <w:jc w:val="center"/>
              <w:rPr>
                <w:rFonts w:ascii="宋体" w:hAnsi="宋体" w:cs="宋体" w:hint="eastAsia"/>
                <w:color w:val="000000"/>
                <w:sz w:val="20"/>
                <w:szCs w:val="20"/>
              </w:rPr>
            </w:pPr>
          </w:p>
        </w:tc>
        <w:tc>
          <w:tcPr>
            <w:tcW w:w="972"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0" w:type="auto"/>
            <w:gridSpan w:val="3"/>
            <w:shd w:val="clear" w:color="auto" w:fill="auto"/>
            <w:noWrap/>
            <w:vAlign w:val="center"/>
          </w:tcPr>
          <w:p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建造文物储藏柜架</w:t>
            </w:r>
          </w:p>
        </w:tc>
        <w:tc>
          <w:tcPr>
            <w:tcW w:w="1350"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=10个</w:t>
            </w:r>
          </w:p>
        </w:tc>
        <w:tc>
          <w:tcPr>
            <w:tcW w:w="1202"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=10个</w:t>
            </w:r>
          </w:p>
        </w:tc>
        <w:tc>
          <w:tcPr>
            <w:tcW w:w="1485"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351"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607" w:type="dxa"/>
            <w:gridSpan w:val="2"/>
            <w:shd w:val="clear" w:color="auto" w:fill="auto"/>
            <w:vAlign w:val="center"/>
          </w:tcPr>
          <w:p w:rsidR="002D2FAA" w:rsidRDefault="002D2FAA">
            <w:pPr>
              <w:jc w:val="center"/>
              <w:rPr>
                <w:rFonts w:ascii="宋体" w:hAnsi="宋体" w:cs="宋体" w:hint="eastAsia"/>
                <w:color w:val="000000"/>
                <w:sz w:val="20"/>
                <w:szCs w:val="20"/>
              </w:rPr>
            </w:pPr>
          </w:p>
        </w:tc>
      </w:tr>
      <w:tr w:rsidR="002D2FAA">
        <w:trPr>
          <w:trHeight w:val="400"/>
          <w:jc w:val="center"/>
        </w:trPr>
        <w:tc>
          <w:tcPr>
            <w:tcW w:w="972" w:type="dxa"/>
            <w:vMerge/>
            <w:shd w:val="clear" w:color="auto" w:fill="auto"/>
            <w:vAlign w:val="center"/>
          </w:tcPr>
          <w:p w:rsidR="002D2FAA" w:rsidRDefault="002D2FAA">
            <w:pPr>
              <w:jc w:val="center"/>
              <w:rPr>
                <w:rFonts w:ascii="宋体" w:hAnsi="宋体" w:cs="宋体" w:hint="eastAsia"/>
                <w:color w:val="000000"/>
                <w:sz w:val="20"/>
                <w:szCs w:val="20"/>
              </w:rPr>
            </w:pPr>
          </w:p>
        </w:tc>
        <w:tc>
          <w:tcPr>
            <w:tcW w:w="972" w:type="dxa"/>
            <w:vMerge/>
            <w:shd w:val="clear" w:color="auto" w:fill="auto"/>
            <w:vAlign w:val="center"/>
          </w:tcPr>
          <w:p w:rsidR="002D2FAA" w:rsidRDefault="002D2FAA">
            <w:pPr>
              <w:jc w:val="center"/>
              <w:rPr>
                <w:rFonts w:ascii="宋体" w:hAnsi="宋体" w:cs="宋体" w:hint="eastAsia"/>
                <w:color w:val="000000"/>
                <w:sz w:val="20"/>
                <w:szCs w:val="20"/>
              </w:rPr>
            </w:pPr>
          </w:p>
        </w:tc>
        <w:tc>
          <w:tcPr>
            <w:tcW w:w="972"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0" w:type="auto"/>
            <w:gridSpan w:val="3"/>
            <w:shd w:val="clear" w:color="auto" w:fill="auto"/>
            <w:noWrap/>
            <w:vAlign w:val="center"/>
          </w:tcPr>
          <w:p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建造文物展柜</w:t>
            </w:r>
          </w:p>
        </w:tc>
        <w:tc>
          <w:tcPr>
            <w:tcW w:w="1350"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=6个</w:t>
            </w:r>
          </w:p>
        </w:tc>
        <w:tc>
          <w:tcPr>
            <w:tcW w:w="1202"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=6个</w:t>
            </w:r>
          </w:p>
        </w:tc>
        <w:tc>
          <w:tcPr>
            <w:tcW w:w="1485"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351"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607" w:type="dxa"/>
            <w:gridSpan w:val="2"/>
            <w:shd w:val="clear" w:color="auto" w:fill="auto"/>
            <w:vAlign w:val="center"/>
          </w:tcPr>
          <w:p w:rsidR="002D2FAA" w:rsidRDefault="002D2FAA">
            <w:pPr>
              <w:jc w:val="center"/>
              <w:rPr>
                <w:rFonts w:ascii="宋体" w:hAnsi="宋体" w:cs="宋体" w:hint="eastAsia"/>
                <w:color w:val="000000"/>
                <w:sz w:val="20"/>
                <w:szCs w:val="20"/>
              </w:rPr>
            </w:pPr>
          </w:p>
        </w:tc>
      </w:tr>
      <w:tr w:rsidR="002D2FAA">
        <w:trPr>
          <w:trHeight w:val="400"/>
          <w:jc w:val="center"/>
        </w:trPr>
        <w:tc>
          <w:tcPr>
            <w:tcW w:w="972" w:type="dxa"/>
            <w:vMerge/>
            <w:shd w:val="clear" w:color="auto" w:fill="auto"/>
            <w:vAlign w:val="center"/>
          </w:tcPr>
          <w:p w:rsidR="002D2FAA" w:rsidRDefault="002D2FAA">
            <w:pPr>
              <w:jc w:val="center"/>
              <w:rPr>
                <w:rFonts w:ascii="宋体" w:hAnsi="宋体" w:cs="宋体" w:hint="eastAsia"/>
                <w:color w:val="000000"/>
                <w:sz w:val="20"/>
                <w:szCs w:val="20"/>
              </w:rPr>
            </w:pPr>
          </w:p>
        </w:tc>
        <w:tc>
          <w:tcPr>
            <w:tcW w:w="972" w:type="dxa"/>
            <w:vMerge/>
            <w:shd w:val="clear" w:color="auto" w:fill="auto"/>
            <w:vAlign w:val="center"/>
          </w:tcPr>
          <w:p w:rsidR="002D2FAA" w:rsidRDefault="002D2FAA">
            <w:pPr>
              <w:jc w:val="center"/>
              <w:rPr>
                <w:rFonts w:ascii="宋体" w:hAnsi="宋体" w:cs="宋体" w:hint="eastAsia"/>
                <w:color w:val="000000"/>
                <w:sz w:val="20"/>
                <w:szCs w:val="20"/>
              </w:rPr>
            </w:pPr>
          </w:p>
        </w:tc>
        <w:tc>
          <w:tcPr>
            <w:tcW w:w="972"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0" w:type="auto"/>
            <w:gridSpan w:val="3"/>
            <w:shd w:val="clear" w:color="auto" w:fill="auto"/>
            <w:noWrap/>
            <w:vAlign w:val="center"/>
          </w:tcPr>
          <w:p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项目验收合格率</w:t>
            </w:r>
          </w:p>
        </w:tc>
        <w:tc>
          <w:tcPr>
            <w:tcW w:w="1350"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202"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485"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351"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607" w:type="dxa"/>
            <w:gridSpan w:val="2"/>
            <w:shd w:val="clear" w:color="auto" w:fill="auto"/>
            <w:vAlign w:val="center"/>
          </w:tcPr>
          <w:p w:rsidR="002D2FAA" w:rsidRDefault="002D2FAA">
            <w:pPr>
              <w:jc w:val="center"/>
              <w:rPr>
                <w:rFonts w:ascii="宋体" w:hAnsi="宋体" w:cs="宋体" w:hint="eastAsia"/>
                <w:color w:val="000000"/>
                <w:sz w:val="20"/>
                <w:szCs w:val="20"/>
              </w:rPr>
            </w:pPr>
          </w:p>
        </w:tc>
      </w:tr>
      <w:tr w:rsidR="002D2FAA">
        <w:trPr>
          <w:trHeight w:val="400"/>
          <w:jc w:val="center"/>
        </w:trPr>
        <w:tc>
          <w:tcPr>
            <w:tcW w:w="972" w:type="dxa"/>
            <w:vMerge/>
            <w:shd w:val="clear" w:color="auto" w:fill="auto"/>
            <w:vAlign w:val="center"/>
          </w:tcPr>
          <w:p w:rsidR="002D2FAA" w:rsidRDefault="002D2FAA">
            <w:pPr>
              <w:jc w:val="center"/>
              <w:rPr>
                <w:rFonts w:ascii="宋体" w:hAnsi="宋体" w:cs="宋体" w:hint="eastAsia"/>
                <w:color w:val="000000"/>
                <w:sz w:val="20"/>
                <w:szCs w:val="20"/>
              </w:rPr>
            </w:pPr>
          </w:p>
        </w:tc>
        <w:tc>
          <w:tcPr>
            <w:tcW w:w="972" w:type="dxa"/>
            <w:vMerge/>
            <w:shd w:val="clear" w:color="auto" w:fill="auto"/>
            <w:vAlign w:val="center"/>
          </w:tcPr>
          <w:p w:rsidR="002D2FAA" w:rsidRDefault="002D2FAA">
            <w:pPr>
              <w:jc w:val="center"/>
              <w:rPr>
                <w:rFonts w:ascii="宋体" w:hAnsi="宋体" w:cs="宋体" w:hint="eastAsia"/>
                <w:color w:val="000000"/>
                <w:sz w:val="20"/>
                <w:szCs w:val="20"/>
              </w:rPr>
            </w:pPr>
          </w:p>
        </w:tc>
        <w:tc>
          <w:tcPr>
            <w:tcW w:w="972"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0" w:type="auto"/>
            <w:gridSpan w:val="3"/>
            <w:shd w:val="clear" w:color="auto" w:fill="auto"/>
            <w:noWrap/>
            <w:vAlign w:val="center"/>
          </w:tcPr>
          <w:p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系统故障率</w:t>
            </w:r>
          </w:p>
        </w:tc>
        <w:tc>
          <w:tcPr>
            <w:tcW w:w="1350"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&lt;=3%</w:t>
            </w:r>
          </w:p>
        </w:tc>
        <w:tc>
          <w:tcPr>
            <w:tcW w:w="1202"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w:t>
            </w:r>
          </w:p>
        </w:tc>
        <w:tc>
          <w:tcPr>
            <w:tcW w:w="1485"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351"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607" w:type="dxa"/>
            <w:gridSpan w:val="2"/>
            <w:shd w:val="clear" w:color="auto" w:fill="auto"/>
            <w:vAlign w:val="center"/>
          </w:tcPr>
          <w:p w:rsidR="002D2FAA" w:rsidRDefault="002D2FAA">
            <w:pPr>
              <w:jc w:val="center"/>
              <w:rPr>
                <w:rFonts w:ascii="宋体" w:hAnsi="宋体" w:cs="宋体" w:hint="eastAsia"/>
                <w:color w:val="000000"/>
                <w:sz w:val="20"/>
                <w:szCs w:val="20"/>
              </w:rPr>
            </w:pPr>
          </w:p>
        </w:tc>
      </w:tr>
      <w:tr w:rsidR="002D2FAA">
        <w:trPr>
          <w:trHeight w:val="400"/>
          <w:jc w:val="center"/>
        </w:trPr>
        <w:tc>
          <w:tcPr>
            <w:tcW w:w="972" w:type="dxa"/>
            <w:vMerge/>
            <w:shd w:val="clear" w:color="auto" w:fill="auto"/>
            <w:vAlign w:val="center"/>
          </w:tcPr>
          <w:p w:rsidR="002D2FAA" w:rsidRDefault="002D2FAA">
            <w:pPr>
              <w:jc w:val="center"/>
              <w:rPr>
                <w:rFonts w:ascii="宋体" w:hAnsi="宋体" w:cs="宋体" w:hint="eastAsia"/>
                <w:color w:val="000000"/>
                <w:sz w:val="20"/>
                <w:szCs w:val="20"/>
              </w:rPr>
            </w:pPr>
          </w:p>
        </w:tc>
        <w:tc>
          <w:tcPr>
            <w:tcW w:w="972" w:type="dxa"/>
            <w:vMerge/>
            <w:shd w:val="clear" w:color="auto" w:fill="auto"/>
            <w:vAlign w:val="center"/>
          </w:tcPr>
          <w:p w:rsidR="002D2FAA" w:rsidRDefault="002D2FAA">
            <w:pPr>
              <w:jc w:val="center"/>
              <w:rPr>
                <w:rFonts w:ascii="宋体" w:hAnsi="宋体" w:cs="宋体" w:hint="eastAsia"/>
                <w:color w:val="000000"/>
                <w:sz w:val="20"/>
                <w:szCs w:val="20"/>
              </w:rPr>
            </w:pPr>
          </w:p>
        </w:tc>
        <w:tc>
          <w:tcPr>
            <w:tcW w:w="972"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0" w:type="auto"/>
            <w:gridSpan w:val="3"/>
            <w:shd w:val="clear" w:color="auto" w:fill="auto"/>
            <w:noWrap/>
            <w:vAlign w:val="center"/>
          </w:tcPr>
          <w:p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文物损毁、违规修复发生率</w:t>
            </w:r>
          </w:p>
        </w:tc>
        <w:tc>
          <w:tcPr>
            <w:tcW w:w="1350"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&lt;=0.5%</w:t>
            </w:r>
          </w:p>
        </w:tc>
        <w:tc>
          <w:tcPr>
            <w:tcW w:w="1202"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1485"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351"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607" w:type="dxa"/>
            <w:gridSpan w:val="2"/>
            <w:shd w:val="clear" w:color="auto" w:fill="auto"/>
            <w:vAlign w:val="center"/>
          </w:tcPr>
          <w:p w:rsidR="002D2FAA" w:rsidRDefault="002D2FAA">
            <w:pPr>
              <w:jc w:val="center"/>
              <w:rPr>
                <w:rFonts w:ascii="宋体" w:hAnsi="宋体" w:cs="宋体" w:hint="eastAsia"/>
                <w:color w:val="000000"/>
                <w:sz w:val="20"/>
                <w:szCs w:val="20"/>
              </w:rPr>
            </w:pPr>
          </w:p>
        </w:tc>
      </w:tr>
      <w:tr w:rsidR="002D2FAA">
        <w:trPr>
          <w:trHeight w:val="400"/>
          <w:jc w:val="center"/>
        </w:trPr>
        <w:tc>
          <w:tcPr>
            <w:tcW w:w="972" w:type="dxa"/>
            <w:vMerge/>
            <w:shd w:val="clear" w:color="auto" w:fill="auto"/>
            <w:vAlign w:val="center"/>
          </w:tcPr>
          <w:p w:rsidR="002D2FAA" w:rsidRDefault="002D2FAA">
            <w:pPr>
              <w:jc w:val="center"/>
              <w:rPr>
                <w:rFonts w:ascii="宋体" w:hAnsi="宋体" w:cs="宋体" w:hint="eastAsia"/>
                <w:color w:val="000000"/>
                <w:sz w:val="20"/>
                <w:szCs w:val="20"/>
              </w:rPr>
            </w:pPr>
          </w:p>
        </w:tc>
        <w:tc>
          <w:tcPr>
            <w:tcW w:w="972" w:type="dxa"/>
            <w:vMerge/>
            <w:shd w:val="clear" w:color="auto" w:fill="auto"/>
            <w:vAlign w:val="center"/>
          </w:tcPr>
          <w:p w:rsidR="002D2FAA" w:rsidRDefault="002D2FAA">
            <w:pPr>
              <w:jc w:val="center"/>
              <w:rPr>
                <w:rFonts w:ascii="宋体" w:hAnsi="宋体" w:cs="宋体" w:hint="eastAsia"/>
                <w:color w:val="000000"/>
                <w:sz w:val="20"/>
                <w:szCs w:val="20"/>
              </w:rPr>
            </w:pPr>
          </w:p>
        </w:tc>
        <w:tc>
          <w:tcPr>
            <w:tcW w:w="972"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0" w:type="auto"/>
            <w:gridSpan w:val="3"/>
            <w:shd w:val="clear" w:color="auto" w:fill="auto"/>
            <w:noWrap/>
            <w:vAlign w:val="center"/>
          </w:tcPr>
          <w:p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项目按计划完成时间</w:t>
            </w:r>
          </w:p>
        </w:tc>
        <w:tc>
          <w:tcPr>
            <w:tcW w:w="1350"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&lt;=12个月</w:t>
            </w:r>
          </w:p>
        </w:tc>
        <w:tc>
          <w:tcPr>
            <w:tcW w:w="1202"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=12个月</w:t>
            </w:r>
          </w:p>
        </w:tc>
        <w:tc>
          <w:tcPr>
            <w:tcW w:w="1485"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351"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607" w:type="dxa"/>
            <w:gridSpan w:val="2"/>
            <w:shd w:val="clear" w:color="auto" w:fill="auto"/>
            <w:vAlign w:val="center"/>
          </w:tcPr>
          <w:p w:rsidR="002D2FAA" w:rsidRDefault="002D2FAA">
            <w:pPr>
              <w:jc w:val="center"/>
              <w:rPr>
                <w:rFonts w:ascii="宋体" w:hAnsi="宋体" w:cs="宋体" w:hint="eastAsia"/>
                <w:color w:val="000000"/>
                <w:sz w:val="20"/>
                <w:szCs w:val="20"/>
              </w:rPr>
            </w:pPr>
          </w:p>
        </w:tc>
      </w:tr>
      <w:tr w:rsidR="002D2FAA">
        <w:trPr>
          <w:trHeight w:val="400"/>
          <w:jc w:val="center"/>
        </w:trPr>
        <w:tc>
          <w:tcPr>
            <w:tcW w:w="972" w:type="dxa"/>
            <w:vMerge/>
            <w:shd w:val="clear" w:color="auto" w:fill="auto"/>
            <w:vAlign w:val="center"/>
          </w:tcPr>
          <w:p w:rsidR="002D2FAA" w:rsidRDefault="002D2FAA">
            <w:pPr>
              <w:jc w:val="center"/>
              <w:rPr>
                <w:rFonts w:ascii="宋体" w:hAnsi="宋体" w:cs="宋体" w:hint="eastAsia"/>
                <w:color w:val="000000"/>
                <w:sz w:val="20"/>
                <w:szCs w:val="20"/>
              </w:rPr>
            </w:pPr>
          </w:p>
        </w:tc>
        <w:tc>
          <w:tcPr>
            <w:tcW w:w="972" w:type="dxa"/>
            <w:vMerge w:val="restart"/>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w:t>
            </w:r>
            <w:r>
              <w:rPr>
                <w:rFonts w:ascii="宋体" w:hAnsi="宋体" w:cs="宋体" w:hint="eastAsia"/>
                <w:color w:val="000000"/>
                <w:kern w:val="0"/>
                <w:sz w:val="20"/>
                <w:szCs w:val="20"/>
                <w:lang w:bidi="ar"/>
              </w:rPr>
              <w:lastRenderedPageBreak/>
              <w:t>本指标</w:t>
            </w:r>
          </w:p>
        </w:tc>
        <w:tc>
          <w:tcPr>
            <w:tcW w:w="972"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经济</w:t>
            </w:r>
            <w:r>
              <w:rPr>
                <w:rFonts w:ascii="宋体" w:hAnsi="宋体" w:cs="宋体" w:hint="eastAsia"/>
                <w:color w:val="000000"/>
                <w:kern w:val="0"/>
                <w:sz w:val="20"/>
                <w:szCs w:val="20"/>
                <w:lang w:bidi="ar"/>
              </w:rPr>
              <w:lastRenderedPageBreak/>
              <w:t>成本指标</w:t>
            </w:r>
          </w:p>
        </w:tc>
        <w:tc>
          <w:tcPr>
            <w:tcW w:w="0" w:type="auto"/>
            <w:gridSpan w:val="3"/>
            <w:shd w:val="clear" w:color="auto" w:fill="auto"/>
            <w:noWrap/>
            <w:vAlign w:val="center"/>
          </w:tcPr>
          <w:p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项目预算控制率</w:t>
            </w:r>
          </w:p>
        </w:tc>
        <w:tc>
          <w:tcPr>
            <w:tcW w:w="1350"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&lt;=100%</w:t>
            </w:r>
          </w:p>
        </w:tc>
        <w:tc>
          <w:tcPr>
            <w:tcW w:w="1202"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485"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351"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607" w:type="dxa"/>
            <w:gridSpan w:val="2"/>
            <w:shd w:val="clear" w:color="auto" w:fill="auto"/>
            <w:vAlign w:val="center"/>
          </w:tcPr>
          <w:p w:rsidR="002D2FAA" w:rsidRDefault="002D2FAA">
            <w:pPr>
              <w:jc w:val="center"/>
              <w:rPr>
                <w:rFonts w:ascii="宋体" w:hAnsi="宋体" w:cs="宋体" w:hint="eastAsia"/>
                <w:color w:val="000000"/>
                <w:sz w:val="20"/>
                <w:szCs w:val="20"/>
              </w:rPr>
            </w:pPr>
          </w:p>
        </w:tc>
      </w:tr>
      <w:tr w:rsidR="002D2FAA">
        <w:trPr>
          <w:trHeight w:val="400"/>
          <w:jc w:val="center"/>
        </w:trPr>
        <w:tc>
          <w:tcPr>
            <w:tcW w:w="972" w:type="dxa"/>
            <w:vMerge/>
            <w:shd w:val="clear" w:color="auto" w:fill="auto"/>
            <w:vAlign w:val="center"/>
          </w:tcPr>
          <w:p w:rsidR="002D2FAA" w:rsidRDefault="002D2FAA">
            <w:pPr>
              <w:jc w:val="center"/>
              <w:rPr>
                <w:rFonts w:ascii="宋体" w:hAnsi="宋体" w:cs="宋体" w:hint="eastAsia"/>
                <w:color w:val="000000"/>
                <w:sz w:val="20"/>
                <w:szCs w:val="20"/>
              </w:rPr>
            </w:pPr>
          </w:p>
        </w:tc>
        <w:tc>
          <w:tcPr>
            <w:tcW w:w="972" w:type="dxa"/>
            <w:vMerge/>
            <w:shd w:val="clear" w:color="auto" w:fill="auto"/>
            <w:vAlign w:val="center"/>
          </w:tcPr>
          <w:p w:rsidR="002D2FAA" w:rsidRDefault="002D2FAA">
            <w:pPr>
              <w:jc w:val="center"/>
              <w:rPr>
                <w:rFonts w:ascii="宋体" w:hAnsi="宋体" w:cs="宋体" w:hint="eastAsia"/>
                <w:color w:val="000000"/>
                <w:sz w:val="20"/>
                <w:szCs w:val="20"/>
              </w:rPr>
            </w:pPr>
          </w:p>
        </w:tc>
        <w:tc>
          <w:tcPr>
            <w:tcW w:w="972"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社会成本指标</w:t>
            </w:r>
          </w:p>
        </w:tc>
        <w:tc>
          <w:tcPr>
            <w:tcW w:w="0" w:type="auto"/>
            <w:gridSpan w:val="3"/>
            <w:shd w:val="clear" w:color="auto" w:fill="auto"/>
            <w:noWrap/>
            <w:vAlign w:val="center"/>
          </w:tcPr>
          <w:p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安全事故发生率</w:t>
            </w:r>
          </w:p>
        </w:tc>
        <w:tc>
          <w:tcPr>
            <w:tcW w:w="1350"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&lt;=0.5%</w:t>
            </w:r>
          </w:p>
        </w:tc>
        <w:tc>
          <w:tcPr>
            <w:tcW w:w="1202"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1485"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351"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607" w:type="dxa"/>
            <w:gridSpan w:val="2"/>
            <w:shd w:val="clear" w:color="auto" w:fill="auto"/>
            <w:vAlign w:val="center"/>
          </w:tcPr>
          <w:p w:rsidR="002D2FAA" w:rsidRDefault="002D2FAA">
            <w:pPr>
              <w:jc w:val="center"/>
              <w:rPr>
                <w:rFonts w:ascii="宋体" w:hAnsi="宋体" w:cs="宋体" w:hint="eastAsia"/>
                <w:color w:val="000000"/>
                <w:sz w:val="20"/>
                <w:szCs w:val="20"/>
              </w:rPr>
            </w:pPr>
          </w:p>
        </w:tc>
      </w:tr>
      <w:tr w:rsidR="002D2FAA">
        <w:trPr>
          <w:trHeight w:val="400"/>
          <w:jc w:val="center"/>
        </w:trPr>
        <w:tc>
          <w:tcPr>
            <w:tcW w:w="972" w:type="dxa"/>
            <w:vMerge/>
            <w:shd w:val="clear" w:color="auto" w:fill="auto"/>
            <w:vAlign w:val="center"/>
          </w:tcPr>
          <w:p w:rsidR="002D2FAA" w:rsidRDefault="002D2FAA">
            <w:pPr>
              <w:jc w:val="center"/>
              <w:rPr>
                <w:rFonts w:ascii="宋体" w:hAnsi="宋体" w:cs="宋体" w:hint="eastAsia"/>
                <w:color w:val="000000"/>
                <w:sz w:val="20"/>
                <w:szCs w:val="20"/>
              </w:rPr>
            </w:pPr>
          </w:p>
        </w:tc>
        <w:tc>
          <w:tcPr>
            <w:tcW w:w="972" w:type="dxa"/>
            <w:vMerge/>
            <w:shd w:val="clear" w:color="auto" w:fill="auto"/>
            <w:vAlign w:val="center"/>
          </w:tcPr>
          <w:p w:rsidR="002D2FAA" w:rsidRDefault="002D2FAA">
            <w:pPr>
              <w:jc w:val="center"/>
              <w:rPr>
                <w:rFonts w:ascii="宋体" w:hAnsi="宋体" w:cs="宋体" w:hint="eastAsia"/>
                <w:color w:val="000000"/>
                <w:sz w:val="20"/>
                <w:szCs w:val="20"/>
              </w:rPr>
            </w:pPr>
          </w:p>
        </w:tc>
        <w:tc>
          <w:tcPr>
            <w:tcW w:w="972"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生态环境成本指标</w:t>
            </w:r>
          </w:p>
        </w:tc>
        <w:tc>
          <w:tcPr>
            <w:tcW w:w="0" w:type="auto"/>
            <w:gridSpan w:val="3"/>
            <w:shd w:val="clear" w:color="auto" w:fill="auto"/>
            <w:noWrap/>
            <w:vAlign w:val="center"/>
          </w:tcPr>
          <w:p w:rsidR="002D2FAA" w:rsidRDefault="002D2FAA">
            <w:pPr>
              <w:jc w:val="left"/>
              <w:rPr>
                <w:rFonts w:ascii="宋体" w:hAnsi="宋体" w:cs="宋体" w:hint="eastAsia"/>
                <w:color w:val="000000"/>
                <w:sz w:val="20"/>
                <w:szCs w:val="20"/>
              </w:rPr>
            </w:pPr>
          </w:p>
        </w:tc>
        <w:tc>
          <w:tcPr>
            <w:tcW w:w="1350" w:type="dxa"/>
            <w:shd w:val="clear" w:color="auto" w:fill="auto"/>
            <w:vAlign w:val="center"/>
          </w:tcPr>
          <w:p w:rsidR="002D2FAA" w:rsidRDefault="002D2FAA">
            <w:pPr>
              <w:jc w:val="center"/>
              <w:rPr>
                <w:rFonts w:ascii="宋体" w:hAnsi="宋体" w:cs="宋体" w:hint="eastAsia"/>
                <w:color w:val="000000"/>
                <w:sz w:val="20"/>
                <w:szCs w:val="20"/>
              </w:rPr>
            </w:pPr>
          </w:p>
        </w:tc>
        <w:tc>
          <w:tcPr>
            <w:tcW w:w="1202" w:type="dxa"/>
            <w:shd w:val="clear" w:color="auto" w:fill="auto"/>
            <w:vAlign w:val="center"/>
          </w:tcPr>
          <w:p w:rsidR="002D2FAA" w:rsidRDefault="002D2FAA">
            <w:pPr>
              <w:jc w:val="center"/>
              <w:rPr>
                <w:rFonts w:ascii="宋体" w:hAnsi="宋体" w:cs="宋体" w:hint="eastAsia"/>
                <w:color w:val="000000"/>
                <w:sz w:val="20"/>
                <w:szCs w:val="20"/>
              </w:rPr>
            </w:pPr>
          </w:p>
        </w:tc>
        <w:tc>
          <w:tcPr>
            <w:tcW w:w="1485" w:type="dxa"/>
            <w:gridSpan w:val="2"/>
            <w:shd w:val="clear" w:color="auto" w:fill="auto"/>
            <w:vAlign w:val="center"/>
          </w:tcPr>
          <w:p w:rsidR="002D2FAA" w:rsidRDefault="002D2FAA">
            <w:pPr>
              <w:jc w:val="center"/>
              <w:rPr>
                <w:rFonts w:ascii="宋体" w:hAnsi="宋体" w:cs="宋体" w:hint="eastAsia"/>
                <w:color w:val="000000"/>
                <w:sz w:val="20"/>
                <w:szCs w:val="20"/>
              </w:rPr>
            </w:pPr>
          </w:p>
        </w:tc>
        <w:tc>
          <w:tcPr>
            <w:tcW w:w="1351" w:type="dxa"/>
            <w:gridSpan w:val="2"/>
            <w:shd w:val="clear" w:color="auto" w:fill="auto"/>
            <w:vAlign w:val="center"/>
          </w:tcPr>
          <w:p w:rsidR="002D2FAA" w:rsidRDefault="002D2FAA">
            <w:pPr>
              <w:jc w:val="center"/>
              <w:rPr>
                <w:rFonts w:ascii="宋体" w:hAnsi="宋体" w:cs="宋体" w:hint="eastAsia"/>
                <w:color w:val="000000"/>
                <w:sz w:val="20"/>
                <w:szCs w:val="20"/>
              </w:rPr>
            </w:pPr>
          </w:p>
        </w:tc>
        <w:tc>
          <w:tcPr>
            <w:tcW w:w="1607" w:type="dxa"/>
            <w:gridSpan w:val="2"/>
            <w:shd w:val="clear" w:color="auto" w:fill="auto"/>
            <w:vAlign w:val="center"/>
          </w:tcPr>
          <w:p w:rsidR="002D2FAA" w:rsidRDefault="002D2FAA">
            <w:pPr>
              <w:jc w:val="center"/>
              <w:rPr>
                <w:rFonts w:ascii="宋体" w:hAnsi="宋体" w:cs="宋体" w:hint="eastAsia"/>
                <w:color w:val="000000"/>
                <w:sz w:val="20"/>
                <w:szCs w:val="20"/>
              </w:rPr>
            </w:pPr>
          </w:p>
        </w:tc>
      </w:tr>
      <w:tr w:rsidR="002D2FAA">
        <w:trPr>
          <w:trHeight w:val="400"/>
          <w:jc w:val="center"/>
        </w:trPr>
        <w:tc>
          <w:tcPr>
            <w:tcW w:w="972" w:type="dxa"/>
            <w:vMerge/>
            <w:shd w:val="clear" w:color="auto" w:fill="auto"/>
            <w:vAlign w:val="center"/>
          </w:tcPr>
          <w:p w:rsidR="002D2FAA" w:rsidRDefault="002D2FAA">
            <w:pPr>
              <w:jc w:val="center"/>
              <w:rPr>
                <w:rFonts w:ascii="宋体" w:hAnsi="宋体" w:cs="宋体" w:hint="eastAsia"/>
                <w:color w:val="000000"/>
                <w:sz w:val="20"/>
                <w:szCs w:val="20"/>
              </w:rPr>
            </w:pPr>
          </w:p>
        </w:tc>
        <w:tc>
          <w:tcPr>
            <w:tcW w:w="972" w:type="dxa"/>
            <w:vMerge w:val="restart"/>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972"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0" w:type="auto"/>
            <w:gridSpan w:val="3"/>
            <w:shd w:val="clear" w:color="auto" w:fill="auto"/>
            <w:noWrap/>
            <w:vAlign w:val="center"/>
          </w:tcPr>
          <w:p w:rsidR="002D2FAA" w:rsidRDefault="002D2FAA">
            <w:pPr>
              <w:jc w:val="left"/>
              <w:rPr>
                <w:rFonts w:ascii="宋体" w:hAnsi="宋体" w:cs="宋体" w:hint="eastAsia"/>
                <w:color w:val="000000"/>
                <w:sz w:val="20"/>
                <w:szCs w:val="20"/>
              </w:rPr>
            </w:pPr>
          </w:p>
        </w:tc>
        <w:tc>
          <w:tcPr>
            <w:tcW w:w="1350" w:type="dxa"/>
            <w:shd w:val="clear" w:color="auto" w:fill="auto"/>
            <w:vAlign w:val="center"/>
          </w:tcPr>
          <w:p w:rsidR="002D2FAA" w:rsidRDefault="002D2FAA">
            <w:pPr>
              <w:jc w:val="center"/>
              <w:rPr>
                <w:rFonts w:ascii="宋体" w:hAnsi="宋体" w:cs="宋体" w:hint="eastAsia"/>
                <w:color w:val="000000"/>
                <w:sz w:val="20"/>
                <w:szCs w:val="20"/>
              </w:rPr>
            </w:pPr>
          </w:p>
        </w:tc>
        <w:tc>
          <w:tcPr>
            <w:tcW w:w="1202" w:type="dxa"/>
            <w:shd w:val="clear" w:color="auto" w:fill="auto"/>
            <w:vAlign w:val="center"/>
          </w:tcPr>
          <w:p w:rsidR="002D2FAA" w:rsidRDefault="002D2FAA">
            <w:pPr>
              <w:jc w:val="center"/>
              <w:rPr>
                <w:rFonts w:ascii="宋体" w:hAnsi="宋体" w:cs="宋体" w:hint="eastAsia"/>
                <w:color w:val="000000"/>
                <w:sz w:val="20"/>
                <w:szCs w:val="20"/>
              </w:rPr>
            </w:pPr>
          </w:p>
        </w:tc>
        <w:tc>
          <w:tcPr>
            <w:tcW w:w="1485" w:type="dxa"/>
            <w:gridSpan w:val="2"/>
            <w:shd w:val="clear" w:color="auto" w:fill="auto"/>
            <w:vAlign w:val="center"/>
          </w:tcPr>
          <w:p w:rsidR="002D2FAA" w:rsidRDefault="002D2FAA">
            <w:pPr>
              <w:jc w:val="center"/>
              <w:rPr>
                <w:rFonts w:ascii="宋体" w:hAnsi="宋体" w:cs="宋体" w:hint="eastAsia"/>
                <w:color w:val="000000"/>
                <w:sz w:val="20"/>
                <w:szCs w:val="20"/>
              </w:rPr>
            </w:pPr>
          </w:p>
        </w:tc>
        <w:tc>
          <w:tcPr>
            <w:tcW w:w="1351" w:type="dxa"/>
            <w:gridSpan w:val="2"/>
            <w:shd w:val="clear" w:color="auto" w:fill="auto"/>
            <w:vAlign w:val="center"/>
          </w:tcPr>
          <w:p w:rsidR="002D2FAA" w:rsidRDefault="002D2FAA">
            <w:pPr>
              <w:jc w:val="center"/>
              <w:rPr>
                <w:rFonts w:ascii="宋体" w:hAnsi="宋体" w:cs="宋体" w:hint="eastAsia"/>
                <w:color w:val="000000"/>
                <w:sz w:val="20"/>
                <w:szCs w:val="20"/>
              </w:rPr>
            </w:pPr>
          </w:p>
        </w:tc>
        <w:tc>
          <w:tcPr>
            <w:tcW w:w="1607" w:type="dxa"/>
            <w:gridSpan w:val="2"/>
            <w:shd w:val="clear" w:color="auto" w:fill="auto"/>
            <w:vAlign w:val="center"/>
          </w:tcPr>
          <w:p w:rsidR="002D2FAA" w:rsidRDefault="002D2FAA">
            <w:pPr>
              <w:jc w:val="center"/>
              <w:rPr>
                <w:rFonts w:ascii="宋体" w:hAnsi="宋体" w:cs="宋体" w:hint="eastAsia"/>
                <w:color w:val="000000"/>
                <w:sz w:val="20"/>
                <w:szCs w:val="20"/>
              </w:rPr>
            </w:pPr>
          </w:p>
        </w:tc>
      </w:tr>
      <w:tr w:rsidR="002D2FAA">
        <w:trPr>
          <w:trHeight w:val="400"/>
          <w:jc w:val="center"/>
        </w:trPr>
        <w:tc>
          <w:tcPr>
            <w:tcW w:w="972" w:type="dxa"/>
            <w:vMerge/>
            <w:shd w:val="clear" w:color="auto" w:fill="auto"/>
            <w:vAlign w:val="center"/>
          </w:tcPr>
          <w:p w:rsidR="002D2FAA" w:rsidRDefault="002D2FAA">
            <w:pPr>
              <w:jc w:val="center"/>
              <w:rPr>
                <w:rFonts w:ascii="宋体" w:hAnsi="宋体" w:cs="宋体" w:hint="eastAsia"/>
                <w:color w:val="000000"/>
                <w:sz w:val="20"/>
                <w:szCs w:val="20"/>
              </w:rPr>
            </w:pPr>
          </w:p>
        </w:tc>
        <w:tc>
          <w:tcPr>
            <w:tcW w:w="972" w:type="dxa"/>
            <w:vMerge/>
            <w:shd w:val="clear" w:color="auto" w:fill="auto"/>
            <w:vAlign w:val="center"/>
          </w:tcPr>
          <w:p w:rsidR="002D2FAA" w:rsidRDefault="002D2FAA">
            <w:pPr>
              <w:jc w:val="center"/>
              <w:rPr>
                <w:rFonts w:ascii="宋体" w:hAnsi="宋体" w:cs="宋体" w:hint="eastAsia"/>
                <w:color w:val="000000"/>
                <w:sz w:val="20"/>
                <w:szCs w:val="20"/>
              </w:rPr>
            </w:pPr>
          </w:p>
        </w:tc>
        <w:tc>
          <w:tcPr>
            <w:tcW w:w="972"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0" w:type="auto"/>
            <w:gridSpan w:val="3"/>
            <w:shd w:val="clear" w:color="auto" w:fill="auto"/>
            <w:noWrap/>
            <w:vAlign w:val="center"/>
          </w:tcPr>
          <w:p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县域内文物保护率</w:t>
            </w:r>
          </w:p>
        </w:tc>
        <w:tc>
          <w:tcPr>
            <w:tcW w:w="1350"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202"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485"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351"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607" w:type="dxa"/>
            <w:gridSpan w:val="2"/>
            <w:shd w:val="clear" w:color="auto" w:fill="auto"/>
            <w:vAlign w:val="center"/>
          </w:tcPr>
          <w:p w:rsidR="002D2FAA" w:rsidRDefault="002D2FAA">
            <w:pPr>
              <w:jc w:val="center"/>
              <w:rPr>
                <w:rFonts w:ascii="宋体" w:hAnsi="宋体" w:cs="宋体" w:hint="eastAsia"/>
                <w:color w:val="000000"/>
                <w:sz w:val="20"/>
                <w:szCs w:val="20"/>
              </w:rPr>
            </w:pPr>
          </w:p>
        </w:tc>
      </w:tr>
      <w:tr w:rsidR="002D2FAA">
        <w:trPr>
          <w:trHeight w:val="400"/>
          <w:jc w:val="center"/>
        </w:trPr>
        <w:tc>
          <w:tcPr>
            <w:tcW w:w="972" w:type="dxa"/>
            <w:vMerge/>
            <w:shd w:val="clear" w:color="auto" w:fill="auto"/>
            <w:vAlign w:val="center"/>
          </w:tcPr>
          <w:p w:rsidR="002D2FAA" w:rsidRDefault="002D2FAA">
            <w:pPr>
              <w:jc w:val="center"/>
              <w:rPr>
                <w:rFonts w:ascii="宋体" w:hAnsi="宋体" w:cs="宋体" w:hint="eastAsia"/>
                <w:color w:val="000000"/>
                <w:sz w:val="20"/>
                <w:szCs w:val="20"/>
              </w:rPr>
            </w:pPr>
          </w:p>
        </w:tc>
        <w:tc>
          <w:tcPr>
            <w:tcW w:w="972" w:type="dxa"/>
            <w:vMerge/>
            <w:shd w:val="clear" w:color="auto" w:fill="auto"/>
            <w:vAlign w:val="center"/>
          </w:tcPr>
          <w:p w:rsidR="002D2FAA" w:rsidRDefault="002D2FAA">
            <w:pPr>
              <w:jc w:val="center"/>
              <w:rPr>
                <w:rFonts w:ascii="宋体" w:hAnsi="宋体" w:cs="宋体" w:hint="eastAsia"/>
                <w:color w:val="000000"/>
                <w:sz w:val="20"/>
                <w:szCs w:val="20"/>
              </w:rPr>
            </w:pPr>
          </w:p>
        </w:tc>
        <w:tc>
          <w:tcPr>
            <w:tcW w:w="972"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0" w:type="auto"/>
            <w:gridSpan w:val="3"/>
            <w:shd w:val="clear" w:color="auto" w:fill="auto"/>
            <w:noWrap/>
            <w:vAlign w:val="center"/>
          </w:tcPr>
          <w:p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可保护文物数量</w:t>
            </w:r>
          </w:p>
        </w:tc>
        <w:tc>
          <w:tcPr>
            <w:tcW w:w="1350"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&gt;=100件</w:t>
            </w:r>
          </w:p>
        </w:tc>
        <w:tc>
          <w:tcPr>
            <w:tcW w:w="1202"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=100件</w:t>
            </w:r>
          </w:p>
        </w:tc>
        <w:tc>
          <w:tcPr>
            <w:tcW w:w="1485"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351"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607" w:type="dxa"/>
            <w:gridSpan w:val="2"/>
            <w:shd w:val="clear" w:color="auto" w:fill="auto"/>
            <w:vAlign w:val="center"/>
          </w:tcPr>
          <w:p w:rsidR="002D2FAA" w:rsidRDefault="002D2FAA">
            <w:pPr>
              <w:jc w:val="center"/>
              <w:rPr>
                <w:rFonts w:ascii="宋体" w:hAnsi="宋体" w:cs="宋体" w:hint="eastAsia"/>
                <w:color w:val="000000"/>
                <w:sz w:val="20"/>
                <w:szCs w:val="20"/>
              </w:rPr>
            </w:pPr>
          </w:p>
        </w:tc>
      </w:tr>
      <w:tr w:rsidR="002D2FAA">
        <w:trPr>
          <w:trHeight w:val="400"/>
          <w:jc w:val="center"/>
        </w:trPr>
        <w:tc>
          <w:tcPr>
            <w:tcW w:w="972" w:type="dxa"/>
            <w:vMerge/>
            <w:shd w:val="clear" w:color="auto" w:fill="auto"/>
            <w:vAlign w:val="center"/>
          </w:tcPr>
          <w:p w:rsidR="002D2FAA" w:rsidRDefault="002D2FAA">
            <w:pPr>
              <w:jc w:val="center"/>
              <w:rPr>
                <w:rFonts w:ascii="宋体" w:hAnsi="宋体" w:cs="宋体" w:hint="eastAsia"/>
                <w:color w:val="000000"/>
                <w:sz w:val="20"/>
                <w:szCs w:val="20"/>
              </w:rPr>
            </w:pPr>
          </w:p>
        </w:tc>
        <w:tc>
          <w:tcPr>
            <w:tcW w:w="972" w:type="dxa"/>
            <w:vMerge/>
            <w:shd w:val="clear" w:color="auto" w:fill="auto"/>
            <w:vAlign w:val="center"/>
          </w:tcPr>
          <w:p w:rsidR="002D2FAA" w:rsidRDefault="002D2FAA">
            <w:pPr>
              <w:jc w:val="center"/>
              <w:rPr>
                <w:rFonts w:ascii="宋体" w:hAnsi="宋体" w:cs="宋体" w:hint="eastAsia"/>
                <w:color w:val="000000"/>
                <w:sz w:val="20"/>
                <w:szCs w:val="20"/>
              </w:rPr>
            </w:pPr>
          </w:p>
        </w:tc>
        <w:tc>
          <w:tcPr>
            <w:tcW w:w="972"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生态效益指标</w:t>
            </w:r>
          </w:p>
        </w:tc>
        <w:tc>
          <w:tcPr>
            <w:tcW w:w="0" w:type="auto"/>
            <w:gridSpan w:val="3"/>
            <w:shd w:val="clear" w:color="auto" w:fill="auto"/>
            <w:noWrap/>
            <w:vAlign w:val="center"/>
          </w:tcPr>
          <w:p w:rsidR="002D2FAA" w:rsidRDefault="002D2FAA">
            <w:pPr>
              <w:jc w:val="left"/>
              <w:rPr>
                <w:rFonts w:ascii="宋体" w:hAnsi="宋体" w:cs="宋体" w:hint="eastAsia"/>
                <w:color w:val="000000"/>
                <w:sz w:val="20"/>
                <w:szCs w:val="20"/>
              </w:rPr>
            </w:pPr>
          </w:p>
        </w:tc>
        <w:tc>
          <w:tcPr>
            <w:tcW w:w="1350" w:type="dxa"/>
            <w:shd w:val="clear" w:color="auto" w:fill="auto"/>
            <w:vAlign w:val="center"/>
          </w:tcPr>
          <w:p w:rsidR="002D2FAA" w:rsidRDefault="002D2FAA">
            <w:pPr>
              <w:jc w:val="center"/>
              <w:rPr>
                <w:rFonts w:ascii="宋体" w:hAnsi="宋体" w:cs="宋体" w:hint="eastAsia"/>
                <w:color w:val="000000"/>
                <w:sz w:val="20"/>
                <w:szCs w:val="20"/>
              </w:rPr>
            </w:pPr>
          </w:p>
        </w:tc>
        <w:tc>
          <w:tcPr>
            <w:tcW w:w="1202" w:type="dxa"/>
            <w:shd w:val="clear" w:color="auto" w:fill="auto"/>
            <w:vAlign w:val="center"/>
          </w:tcPr>
          <w:p w:rsidR="002D2FAA" w:rsidRDefault="002D2FAA">
            <w:pPr>
              <w:jc w:val="center"/>
              <w:rPr>
                <w:rFonts w:ascii="宋体" w:hAnsi="宋体" w:cs="宋体" w:hint="eastAsia"/>
                <w:color w:val="000000"/>
                <w:sz w:val="20"/>
                <w:szCs w:val="20"/>
              </w:rPr>
            </w:pPr>
          </w:p>
        </w:tc>
        <w:tc>
          <w:tcPr>
            <w:tcW w:w="1485" w:type="dxa"/>
            <w:gridSpan w:val="2"/>
            <w:shd w:val="clear" w:color="auto" w:fill="auto"/>
            <w:vAlign w:val="center"/>
          </w:tcPr>
          <w:p w:rsidR="002D2FAA" w:rsidRDefault="002D2FAA">
            <w:pPr>
              <w:jc w:val="center"/>
              <w:rPr>
                <w:rFonts w:ascii="宋体" w:hAnsi="宋体" w:cs="宋体" w:hint="eastAsia"/>
                <w:color w:val="000000"/>
                <w:sz w:val="20"/>
                <w:szCs w:val="20"/>
              </w:rPr>
            </w:pPr>
          </w:p>
        </w:tc>
        <w:tc>
          <w:tcPr>
            <w:tcW w:w="1351" w:type="dxa"/>
            <w:gridSpan w:val="2"/>
            <w:shd w:val="clear" w:color="auto" w:fill="auto"/>
            <w:vAlign w:val="center"/>
          </w:tcPr>
          <w:p w:rsidR="002D2FAA" w:rsidRDefault="002D2FAA">
            <w:pPr>
              <w:jc w:val="center"/>
              <w:rPr>
                <w:rFonts w:ascii="宋体" w:hAnsi="宋体" w:cs="宋体" w:hint="eastAsia"/>
                <w:color w:val="000000"/>
                <w:sz w:val="20"/>
                <w:szCs w:val="20"/>
              </w:rPr>
            </w:pPr>
          </w:p>
        </w:tc>
        <w:tc>
          <w:tcPr>
            <w:tcW w:w="1607" w:type="dxa"/>
            <w:gridSpan w:val="2"/>
            <w:shd w:val="clear" w:color="auto" w:fill="auto"/>
            <w:vAlign w:val="center"/>
          </w:tcPr>
          <w:p w:rsidR="002D2FAA" w:rsidRDefault="002D2FAA">
            <w:pPr>
              <w:jc w:val="center"/>
              <w:rPr>
                <w:rFonts w:ascii="宋体" w:hAnsi="宋体" w:cs="宋体" w:hint="eastAsia"/>
                <w:color w:val="000000"/>
                <w:sz w:val="20"/>
                <w:szCs w:val="20"/>
              </w:rPr>
            </w:pPr>
          </w:p>
        </w:tc>
      </w:tr>
      <w:tr w:rsidR="002D2FAA">
        <w:trPr>
          <w:trHeight w:val="400"/>
          <w:jc w:val="center"/>
        </w:trPr>
        <w:tc>
          <w:tcPr>
            <w:tcW w:w="972" w:type="dxa"/>
            <w:vMerge/>
            <w:shd w:val="clear" w:color="auto" w:fill="auto"/>
            <w:vAlign w:val="center"/>
          </w:tcPr>
          <w:p w:rsidR="002D2FAA" w:rsidRDefault="002D2FAA">
            <w:pPr>
              <w:jc w:val="center"/>
              <w:rPr>
                <w:rFonts w:ascii="宋体" w:hAnsi="宋体" w:cs="宋体" w:hint="eastAsia"/>
                <w:color w:val="000000"/>
                <w:sz w:val="20"/>
                <w:szCs w:val="20"/>
              </w:rPr>
            </w:pPr>
          </w:p>
        </w:tc>
        <w:tc>
          <w:tcPr>
            <w:tcW w:w="972"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972"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0" w:type="auto"/>
            <w:gridSpan w:val="3"/>
            <w:shd w:val="clear" w:color="auto" w:fill="auto"/>
            <w:noWrap/>
            <w:vAlign w:val="center"/>
          </w:tcPr>
          <w:p w:rsidR="002D2FA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馆内工作人员满意度</w:t>
            </w:r>
          </w:p>
        </w:tc>
        <w:tc>
          <w:tcPr>
            <w:tcW w:w="1350"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202" w:type="dxa"/>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=93%</w:t>
            </w:r>
          </w:p>
        </w:tc>
        <w:tc>
          <w:tcPr>
            <w:tcW w:w="1485"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351"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9.45</w:t>
            </w:r>
          </w:p>
        </w:tc>
        <w:tc>
          <w:tcPr>
            <w:tcW w:w="1607"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因展厅装修提升改造项目，有部分展厅临时未开放。</w:t>
            </w:r>
          </w:p>
        </w:tc>
      </w:tr>
      <w:tr w:rsidR="002D2FAA">
        <w:trPr>
          <w:trHeight w:val="288"/>
          <w:jc w:val="center"/>
        </w:trPr>
        <w:tc>
          <w:tcPr>
            <w:tcW w:w="7912" w:type="dxa"/>
            <w:gridSpan w:val="8"/>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1485"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351" w:type="dxa"/>
            <w:gridSpan w:val="2"/>
            <w:shd w:val="clear" w:color="auto" w:fill="auto"/>
            <w:vAlign w:val="center"/>
          </w:tcPr>
          <w:p w:rsidR="002D2FA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89.45分</w:t>
            </w:r>
          </w:p>
        </w:tc>
        <w:tc>
          <w:tcPr>
            <w:tcW w:w="1607" w:type="dxa"/>
            <w:gridSpan w:val="2"/>
            <w:shd w:val="clear" w:color="auto" w:fill="auto"/>
            <w:vAlign w:val="center"/>
          </w:tcPr>
          <w:p w:rsidR="002D2FAA" w:rsidRDefault="002D2FAA">
            <w:pPr>
              <w:jc w:val="center"/>
              <w:rPr>
                <w:rFonts w:ascii="宋体" w:hAnsi="宋体" w:cs="宋体" w:hint="eastAsia"/>
                <w:color w:val="000000"/>
                <w:sz w:val="20"/>
                <w:szCs w:val="20"/>
              </w:rPr>
            </w:pPr>
          </w:p>
        </w:tc>
      </w:tr>
    </w:tbl>
    <w:p w:rsidR="002D2FAA" w:rsidRDefault="002D2FAA">
      <w:pPr>
        <w:ind w:firstLineChars="200" w:firstLine="640"/>
        <w:jc w:val="left"/>
        <w:rPr>
          <w:rFonts w:ascii="黑体" w:eastAsia="黑体" w:hAnsi="黑体" w:cs="宋体" w:hint="eastAsia"/>
          <w:bCs/>
          <w:kern w:val="0"/>
          <w:sz w:val="32"/>
          <w:szCs w:val="32"/>
        </w:rPr>
      </w:pPr>
    </w:p>
    <w:p w:rsidR="002D2FAA"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rsidR="002D2FAA"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rsidR="002D2FAA" w:rsidRDefault="00000000">
      <w:pPr>
        <w:jc w:val="center"/>
        <w:outlineLvl w:val="0"/>
        <w:rPr>
          <w:rFonts w:ascii="黑体" w:eastAsia="黑体" w:hAnsi="黑体" w:hint="eastAsia"/>
          <w:sz w:val="32"/>
          <w:szCs w:val="32"/>
        </w:rPr>
      </w:pPr>
      <w:bookmarkStart w:id="30" w:name="_Toc24143"/>
      <w:bookmarkStart w:id="31"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rsidR="002D2FA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2D2FA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2D2FA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2D2FA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2D2FA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2D2FA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2D2FA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2D2FA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2D2FA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2D2FA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2D2FA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2D2FA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2D2FA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rsidR="002D2FAA"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2D2FAA"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2D2FAA"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rsidR="002D2FAA"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rsidR="002D2FAA"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rsidR="002D2FAA"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rsidR="002D2FAA"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rsidR="002D2FAA"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rsidR="002D2FA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rsidR="002D2FAA"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rsidR="002D2FA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rsidR="002D2FAA" w:rsidRDefault="002D2FAA">
      <w:pPr>
        <w:ind w:firstLineChars="200" w:firstLine="640"/>
        <w:rPr>
          <w:rFonts w:ascii="仿宋_GB2312" w:eastAsia="仿宋_GB2312"/>
          <w:sz w:val="32"/>
          <w:szCs w:val="32"/>
        </w:rPr>
      </w:pPr>
    </w:p>
    <w:p w:rsidR="002D2FAA" w:rsidRDefault="002D2FAA">
      <w:pPr>
        <w:ind w:firstLineChars="200" w:firstLine="640"/>
        <w:outlineLvl w:val="1"/>
        <w:rPr>
          <w:rFonts w:ascii="黑体" w:eastAsia="黑体" w:hAnsi="黑体" w:cs="宋体" w:hint="eastAsia"/>
          <w:bCs/>
          <w:kern w:val="0"/>
          <w:sz w:val="32"/>
          <w:szCs w:val="32"/>
        </w:rPr>
      </w:pPr>
    </w:p>
    <w:sectPr w:rsidR="002D2FA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64052" w:rsidRDefault="00164052">
      <w:r>
        <w:separator/>
      </w:r>
    </w:p>
  </w:endnote>
  <w:endnote w:type="continuationSeparator" w:id="0">
    <w:p w:rsidR="00164052" w:rsidRDefault="00164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D2FAA" w:rsidRDefault="00000000">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2D2FA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rsidR="002D2FA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64052" w:rsidRDefault="00164052">
      <w:r>
        <w:separator/>
      </w:r>
    </w:p>
  </w:footnote>
  <w:footnote w:type="continuationSeparator" w:id="0">
    <w:p w:rsidR="00164052" w:rsidRDefault="001640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32411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2D2FAA"/>
    <w:rsid w:val="00164052"/>
    <w:rsid w:val="00213C59"/>
    <w:rsid w:val="00245950"/>
    <w:rsid w:val="002D2FAA"/>
    <w:rsid w:val="003210CE"/>
    <w:rsid w:val="003E26F8"/>
    <w:rsid w:val="004A4740"/>
    <w:rsid w:val="006D26BA"/>
    <w:rsid w:val="009470C0"/>
    <w:rsid w:val="00B70D59"/>
    <w:rsid w:val="00F52A8D"/>
    <w:rsid w:val="019404F8"/>
    <w:rsid w:val="02BD3108"/>
    <w:rsid w:val="02F73D26"/>
    <w:rsid w:val="034D4FEF"/>
    <w:rsid w:val="035D1785"/>
    <w:rsid w:val="039F47CE"/>
    <w:rsid w:val="03E05CE8"/>
    <w:rsid w:val="03F973EE"/>
    <w:rsid w:val="043E5B56"/>
    <w:rsid w:val="047D31F5"/>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0B5702"/>
  <w15:docId w15:val="{6F1BF539-95DC-4C2F-88E7-0859C1AF6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autoRedefine/>
    <w:qFormat/>
  </w:style>
  <w:style w:type="paragraph" w:styleId="TOC2">
    <w:name w:val="toc 2"/>
    <w:basedOn w:val="a"/>
    <w:next w:val="a"/>
    <w:autoRedefine/>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autoRedefine/>
    <w:qFormat/>
    <w:pPr>
      <w:ind w:leftChars="400" w:left="400"/>
    </w:pPr>
  </w:style>
  <w:style w:type="paragraph" w:customStyle="1" w:styleId="WPSOffice2">
    <w:name w:val="WPSOffice手动目录 2"/>
    <w:autoRedefine/>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22</Pages>
  <Words>1638</Words>
  <Characters>9339</Characters>
  <Application>Microsoft Office Word</Application>
  <DocSecurity>0</DocSecurity>
  <Lines>77</Lines>
  <Paragraphs>21</Paragraphs>
  <ScaleCrop>false</ScaleCrop>
  <Company/>
  <LinksUpToDate>false</LinksUpToDate>
  <CharactersWithSpaces>10956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4</cp:revision>
  <dcterms:created xsi:type="dcterms:W3CDTF">2014-10-29T12:08:00Z</dcterms:created>
  <dcterms:modified xsi:type="dcterms:W3CDTF">2024-08-19T06:33:00Z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